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B1" w:rsidRPr="00740E78" w:rsidRDefault="005362B1" w:rsidP="005362B1">
      <w:pPr>
        <w:jc w:val="center"/>
        <w:rPr>
          <w:b/>
          <w:szCs w:val="28"/>
        </w:rPr>
      </w:pPr>
      <w:r w:rsidRPr="00740E78">
        <w:rPr>
          <w:b/>
          <w:szCs w:val="28"/>
        </w:rPr>
        <w:t>ТЕСТ</w:t>
      </w:r>
      <w:r>
        <w:rPr>
          <w:b/>
          <w:szCs w:val="28"/>
        </w:rPr>
        <w:t xml:space="preserve"> </w:t>
      </w:r>
      <w:r w:rsidRPr="00740E78">
        <w:rPr>
          <w:b/>
          <w:szCs w:val="28"/>
        </w:rPr>
        <w:t>малого підприємництва (М-Тест)</w:t>
      </w:r>
    </w:p>
    <w:p w:rsidR="005362B1" w:rsidRPr="00740E78" w:rsidRDefault="005362B1" w:rsidP="005362B1">
      <w:pPr>
        <w:jc w:val="center"/>
        <w:rPr>
          <w:szCs w:val="28"/>
        </w:rPr>
      </w:pPr>
    </w:p>
    <w:p w:rsidR="005362B1" w:rsidRPr="00740E78" w:rsidRDefault="005362B1" w:rsidP="005362B1">
      <w:pPr>
        <w:jc w:val="center"/>
        <w:rPr>
          <w:szCs w:val="28"/>
        </w:rPr>
      </w:pPr>
      <w:r w:rsidRPr="00740E78">
        <w:rPr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:rsidR="005362B1" w:rsidRPr="00740E78" w:rsidRDefault="005362B1" w:rsidP="005362B1">
      <w:pPr>
        <w:ind w:firstLine="720"/>
        <w:jc w:val="both"/>
        <w:rPr>
          <w:szCs w:val="28"/>
        </w:rPr>
      </w:pPr>
      <w:r w:rsidRPr="00740E78">
        <w:rPr>
          <w:szCs w:val="28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>
        <w:rPr>
          <w:szCs w:val="28"/>
        </w:rPr>
        <w:t>01</w:t>
      </w:r>
      <w:r w:rsidRPr="00740E78">
        <w:rPr>
          <w:szCs w:val="28"/>
        </w:rPr>
        <w:t xml:space="preserve"> </w:t>
      </w:r>
      <w:r>
        <w:rPr>
          <w:szCs w:val="28"/>
        </w:rPr>
        <w:t xml:space="preserve">серпня </w:t>
      </w:r>
      <w:r w:rsidRPr="00740E78">
        <w:rPr>
          <w:szCs w:val="28"/>
        </w:rPr>
        <w:t xml:space="preserve">2017 року по </w:t>
      </w:r>
      <w:r>
        <w:rPr>
          <w:szCs w:val="28"/>
        </w:rPr>
        <w:t>08</w:t>
      </w:r>
      <w:r w:rsidRPr="00740E78">
        <w:rPr>
          <w:szCs w:val="28"/>
        </w:rPr>
        <w:t xml:space="preserve"> </w:t>
      </w:r>
      <w:r>
        <w:rPr>
          <w:szCs w:val="28"/>
        </w:rPr>
        <w:t>вересня</w:t>
      </w:r>
      <w:r w:rsidRPr="00740E78">
        <w:rPr>
          <w:szCs w:val="28"/>
        </w:rPr>
        <w:t xml:space="preserve"> 2017 року.</w:t>
      </w:r>
    </w:p>
    <w:p w:rsidR="005362B1" w:rsidRPr="00740E78" w:rsidRDefault="005362B1" w:rsidP="005362B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3503"/>
      </w:tblGrid>
      <w:tr w:rsidR="005362B1" w:rsidRPr="00B430BF" w:rsidTr="00396E79">
        <w:tc>
          <w:tcPr>
            <w:tcW w:w="1101" w:type="dxa"/>
            <w:shd w:val="clear" w:color="auto" w:fill="auto"/>
          </w:tcPr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Порядковий номер</w:t>
            </w:r>
          </w:p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Кількість учасників консультацій, осіб</w:t>
            </w:r>
          </w:p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Основні результати консультацій (опис)</w:t>
            </w:r>
          </w:p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</w:tr>
      <w:tr w:rsidR="005362B1" w:rsidRPr="00B430BF" w:rsidTr="00396E79">
        <w:tc>
          <w:tcPr>
            <w:tcW w:w="1101" w:type="dxa"/>
            <w:shd w:val="clear" w:color="auto" w:fill="auto"/>
          </w:tcPr>
          <w:p w:rsidR="005362B1" w:rsidRPr="00B430BF" w:rsidRDefault="005362B1" w:rsidP="00396E79">
            <w:pPr>
              <w:jc w:val="center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362B1" w:rsidRPr="00B430BF" w:rsidRDefault="005362B1" w:rsidP="00396E79">
            <w:pPr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Статистичні дані Міністерства інфраструктури України</w:t>
            </w:r>
          </w:p>
          <w:p w:rsidR="005362B1" w:rsidRPr="00B430BF" w:rsidRDefault="005362B1" w:rsidP="00396E79">
            <w:pPr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362B1" w:rsidRPr="00B430BF" w:rsidRDefault="005362B1" w:rsidP="00396E79">
            <w:pPr>
              <w:jc w:val="center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 xml:space="preserve">Установлено орієнтовну кількість суб’єктів господарювання, </w:t>
            </w:r>
            <w:r>
              <w:rPr>
                <w:sz w:val="24"/>
                <w:szCs w:val="24"/>
              </w:rPr>
              <w:t xml:space="preserve">що можуть звернутись до сервісних центрів МВС України для </w:t>
            </w:r>
            <w:r w:rsidRPr="00B430BF">
              <w:rPr>
                <w:color w:val="000000"/>
                <w:sz w:val="24"/>
                <w:szCs w:val="24"/>
              </w:rPr>
              <w:t xml:space="preserve">проведення  </w:t>
            </w:r>
            <w:r w:rsidRPr="00B430BF">
              <w:rPr>
                <w:sz w:val="24"/>
                <w:szCs w:val="24"/>
              </w:rPr>
              <w:t>реєстрації (перереєстрації), зняття з обліку транспортних засобів</w:t>
            </w:r>
          </w:p>
        </w:tc>
      </w:tr>
      <w:tr w:rsidR="005362B1" w:rsidRPr="00B430BF" w:rsidTr="00396E79">
        <w:tc>
          <w:tcPr>
            <w:tcW w:w="1101" w:type="dxa"/>
            <w:shd w:val="clear" w:color="auto" w:fill="auto"/>
          </w:tcPr>
          <w:p w:rsidR="005362B1" w:rsidRPr="00B430BF" w:rsidRDefault="005362B1" w:rsidP="00396E79">
            <w:pPr>
              <w:jc w:val="center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362B1" w:rsidRPr="00B430BF" w:rsidRDefault="005362B1" w:rsidP="00396E79">
            <w:pPr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>Опитано регіональні сервісні центри МВС</w:t>
            </w:r>
          </w:p>
        </w:tc>
        <w:tc>
          <w:tcPr>
            <w:tcW w:w="1984" w:type="dxa"/>
            <w:shd w:val="clear" w:color="auto" w:fill="auto"/>
          </w:tcPr>
          <w:p w:rsidR="005362B1" w:rsidRPr="00B430BF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430BF"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shd w:val="clear" w:color="auto" w:fill="auto"/>
          </w:tcPr>
          <w:p w:rsidR="005362B1" w:rsidRPr="00B430BF" w:rsidRDefault="005362B1" w:rsidP="00396E79">
            <w:pPr>
              <w:jc w:val="both"/>
              <w:rPr>
                <w:sz w:val="24"/>
                <w:szCs w:val="24"/>
              </w:rPr>
            </w:pPr>
            <w:r w:rsidRPr="00B430BF">
              <w:rPr>
                <w:sz w:val="24"/>
                <w:szCs w:val="24"/>
              </w:rPr>
              <w:t xml:space="preserve">Отримано інформацію щодо середньої кількості суб’єктів господарювання, </w:t>
            </w:r>
            <w:r>
              <w:rPr>
                <w:sz w:val="24"/>
                <w:szCs w:val="24"/>
              </w:rPr>
              <w:t xml:space="preserve">що можуть звернутись до сервісних центрів МВС України для </w:t>
            </w:r>
            <w:r w:rsidRPr="00B430BF">
              <w:rPr>
                <w:color w:val="000000"/>
                <w:sz w:val="24"/>
                <w:szCs w:val="24"/>
              </w:rPr>
              <w:t xml:space="preserve">проведення  </w:t>
            </w:r>
            <w:r w:rsidRPr="00B430BF">
              <w:rPr>
                <w:sz w:val="24"/>
                <w:szCs w:val="24"/>
              </w:rPr>
              <w:t>реєстрації (перереєстрації), зняття з обліку транспортних засобів</w:t>
            </w:r>
          </w:p>
        </w:tc>
      </w:tr>
    </w:tbl>
    <w:p w:rsidR="005362B1" w:rsidRPr="00740E78" w:rsidRDefault="005362B1" w:rsidP="005362B1">
      <w:pPr>
        <w:jc w:val="center"/>
        <w:rPr>
          <w:szCs w:val="28"/>
        </w:rPr>
      </w:pPr>
      <w:r w:rsidRPr="00740E78">
        <w:rPr>
          <w:szCs w:val="28"/>
        </w:rPr>
        <w:t>2. Вимірювання впливу регулювання на суб’єктів малого підприємництва (мікро- та малі):</w:t>
      </w:r>
    </w:p>
    <w:p w:rsidR="005362B1" w:rsidRPr="0076450D" w:rsidRDefault="005362B1" w:rsidP="005362B1">
      <w:pPr>
        <w:ind w:firstLine="720"/>
        <w:jc w:val="both"/>
        <w:rPr>
          <w:szCs w:val="28"/>
        </w:rPr>
      </w:pPr>
      <w:r w:rsidRPr="00740E78">
        <w:rPr>
          <w:szCs w:val="28"/>
        </w:rPr>
        <w:t xml:space="preserve">Кількість </w:t>
      </w:r>
      <w:r w:rsidRPr="00E8636A">
        <w:rPr>
          <w:szCs w:val="28"/>
        </w:rPr>
        <w:t>суб’єктів малого підприємництва</w:t>
      </w:r>
      <w:r w:rsidR="009662EE">
        <w:rPr>
          <w:szCs w:val="28"/>
        </w:rPr>
        <w:t xml:space="preserve"> </w:t>
      </w:r>
      <w:r w:rsidRPr="00740E78">
        <w:rPr>
          <w:szCs w:val="28"/>
        </w:rPr>
        <w:t xml:space="preserve">на яких поширюється регулювання: 1830 (одиниць), у </w:t>
      </w:r>
      <w:r w:rsidRPr="0076450D">
        <w:rPr>
          <w:szCs w:val="28"/>
        </w:rPr>
        <w:t xml:space="preserve">тому числі малого підприємництва </w:t>
      </w:r>
      <w:r w:rsidR="00396E79" w:rsidRPr="00396E79">
        <w:rPr>
          <w:szCs w:val="28"/>
        </w:rPr>
        <w:br/>
      </w:r>
      <w:r w:rsidRPr="0076450D">
        <w:rPr>
          <w:bCs/>
          <w:color w:val="000000"/>
          <w:szCs w:val="28"/>
        </w:rPr>
        <w:t>129</w:t>
      </w:r>
      <w:r w:rsidRPr="0076450D">
        <w:rPr>
          <w:szCs w:val="28"/>
        </w:rPr>
        <w:t xml:space="preserve"> (одиниць) та </w:t>
      </w:r>
      <w:proofErr w:type="spellStart"/>
      <w:r w:rsidR="00396E79">
        <w:rPr>
          <w:szCs w:val="28"/>
        </w:rPr>
        <w:t>мікро</w:t>
      </w:r>
      <w:r w:rsidR="009662EE" w:rsidRPr="0076450D">
        <w:rPr>
          <w:szCs w:val="28"/>
        </w:rPr>
        <w:t>підприємництва</w:t>
      </w:r>
      <w:proofErr w:type="spellEnd"/>
      <w:r w:rsidR="009662EE">
        <w:rPr>
          <w:szCs w:val="28"/>
        </w:rPr>
        <w:t xml:space="preserve"> </w:t>
      </w:r>
      <w:r w:rsidRPr="0076450D">
        <w:rPr>
          <w:bCs/>
          <w:color w:val="000000"/>
          <w:szCs w:val="28"/>
        </w:rPr>
        <w:t>453</w:t>
      </w:r>
      <w:r w:rsidRPr="0076450D">
        <w:rPr>
          <w:szCs w:val="28"/>
        </w:rPr>
        <w:t xml:space="preserve"> (одиниць);</w:t>
      </w:r>
    </w:p>
    <w:p w:rsidR="005362B1" w:rsidRPr="00740E78" w:rsidRDefault="005362B1" w:rsidP="005362B1">
      <w:pPr>
        <w:ind w:firstLine="720"/>
        <w:jc w:val="both"/>
        <w:rPr>
          <w:szCs w:val="28"/>
        </w:rPr>
      </w:pPr>
      <w:r w:rsidRPr="0076450D">
        <w:rPr>
          <w:szCs w:val="28"/>
        </w:rPr>
        <w:t>питома вага суб’єктів малого підприємництва в загальній кількості</w:t>
      </w:r>
      <w:r w:rsidRPr="00740E78">
        <w:rPr>
          <w:szCs w:val="28"/>
        </w:rPr>
        <w:t xml:space="preserve"> суб’єктів господарювання, на яких проблема справляє вплив </w:t>
      </w:r>
      <w:r>
        <w:rPr>
          <w:szCs w:val="28"/>
        </w:rPr>
        <w:t>92,96</w:t>
      </w:r>
      <w:r w:rsidR="00396E79" w:rsidRPr="00396E79">
        <w:rPr>
          <w:szCs w:val="28"/>
        </w:rPr>
        <w:t xml:space="preserve"> </w:t>
      </w:r>
      <w:r w:rsidRPr="00740E78">
        <w:rPr>
          <w:szCs w:val="28"/>
        </w:rPr>
        <w:t>% (від</w:t>
      </w:r>
      <w:r>
        <w:rPr>
          <w:szCs w:val="28"/>
        </w:rPr>
        <w:t>сотків) (відповідно до таблиці «</w:t>
      </w:r>
      <w:r w:rsidRPr="00740E78">
        <w:rPr>
          <w:szCs w:val="28"/>
        </w:rPr>
        <w:t>Оцінка впливу на сферу інт</w:t>
      </w:r>
      <w:r>
        <w:rPr>
          <w:szCs w:val="28"/>
        </w:rPr>
        <w:t>ересів суб’єктів господарювання»</w:t>
      </w:r>
      <w:r w:rsidRPr="00740E78">
        <w:rPr>
          <w:szCs w:val="28"/>
        </w:rPr>
        <w:t xml:space="preserve"> додатка 1 до Методики проведення аналізу впливу регуляторного акта).</w:t>
      </w:r>
    </w:p>
    <w:p w:rsidR="005362B1" w:rsidRPr="00396E79" w:rsidRDefault="005362B1" w:rsidP="005362B1">
      <w:pPr>
        <w:jc w:val="center"/>
        <w:rPr>
          <w:szCs w:val="28"/>
        </w:rPr>
      </w:pPr>
    </w:p>
    <w:p w:rsidR="00396E79" w:rsidRPr="00396E79" w:rsidRDefault="00396E79" w:rsidP="005362B1">
      <w:pPr>
        <w:jc w:val="center"/>
        <w:rPr>
          <w:szCs w:val="28"/>
        </w:rPr>
      </w:pPr>
    </w:p>
    <w:p w:rsidR="00396E79" w:rsidRPr="00396E79" w:rsidRDefault="00396E79" w:rsidP="005362B1">
      <w:pPr>
        <w:jc w:val="center"/>
        <w:rPr>
          <w:szCs w:val="28"/>
        </w:rPr>
      </w:pPr>
    </w:p>
    <w:p w:rsidR="005362B1" w:rsidRPr="00740E78" w:rsidRDefault="005362B1" w:rsidP="005362B1">
      <w:pPr>
        <w:jc w:val="center"/>
        <w:rPr>
          <w:szCs w:val="28"/>
        </w:rPr>
      </w:pPr>
      <w:r w:rsidRPr="00740E78">
        <w:rPr>
          <w:szCs w:val="28"/>
        </w:rPr>
        <w:lastRenderedPageBreak/>
        <w:t>3. Розрахунок витрат суб’єктів малого підприємництва на виконання вимог регулювання</w:t>
      </w:r>
    </w:p>
    <w:p w:rsidR="005362B1" w:rsidRPr="00740E78" w:rsidRDefault="005362B1" w:rsidP="005362B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1134"/>
        <w:gridCol w:w="283"/>
        <w:gridCol w:w="1418"/>
      </w:tblGrid>
      <w:tr w:rsidR="005362B1" w:rsidRPr="000D1F6C" w:rsidTr="00396E79">
        <w:tc>
          <w:tcPr>
            <w:tcW w:w="817" w:type="dxa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/№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ab/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Найменування оцінки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62B1" w:rsidRPr="000D1F6C" w:rsidRDefault="005362B1" w:rsidP="00396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У перший рік (стартовий рік впровадження регулювання)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62B1" w:rsidRPr="000D1F6C" w:rsidRDefault="005362B1" w:rsidP="00396E79">
            <w:pPr>
              <w:ind w:right="-108"/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Періодичні (за наступний рік)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Витрати за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п’ять років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</w:p>
        </w:tc>
      </w:tr>
      <w:tr w:rsidR="005362B1" w:rsidRPr="000D1F6C" w:rsidTr="00396E79">
        <w:tc>
          <w:tcPr>
            <w:tcW w:w="9606" w:type="dxa"/>
            <w:gridSpan w:val="6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Розрахунок вартості 1 людино-години: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 xml:space="preserve">норма робочого часу на 2017 рік становить при 40-годинному робочому тижні – </w:t>
            </w:r>
            <w:r w:rsidR="00396E79" w:rsidRPr="00396E79">
              <w:rPr>
                <w:sz w:val="24"/>
                <w:szCs w:val="24"/>
                <w:lang w:val="ru-RU"/>
              </w:rPr>
              <w:br/>
            </w:r>
            <w:r w:rsidRPr="000D1F6C">
              <w:rPr>
                <w:sz w:val="24"/>
                <w:szCs w:val="24"/>
              </w:rPr>
              <w:t>1986,0 годин (норми тривалості робочого часу на 2017 рік (лист Міністерства соціальної по</w:t>
            </w:r>
            <w:r w:rsidR="00396E79">
              <w:rPr>
                <w:sz w:val="24"/>
                <w:szCs w:val="24"/>
              </w:rPr>
              <w:t>літики України від 05.08.2016</w:t>
            </w:r>
            <w:r w:rsidRPr="000D1F6C">
              <w:rPr>
                <w:sz w:val="24"/>
                <w:szCs w:val="24"/>
              </w:rPr>
              <w:t xml:space="preserve"> № 11535/0/14-16/13 «Про розрахунок норми тривалості робочого часу на 2017 рік»).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Використовується мінімальний розмір плати. За Законом України «Про Державний бюджет України на 2017 рік» середній мінімальний щомісячний розмір заробітної плати з 01 січн</w:t>
            </w:r>
            <w:r w:rsidR="00396E79">
              <w:rPr>
                <w:sz w:val="24"/>
                <w:szCs w:val="24"/>
              </w:rPr>
              <w:t xml:space="preserve">я 2017 року становить: 3200 </w:t>
            </w:r>
            <w:proofErr w:type="spellStart"/>
            <w:r w:rsidR="00396E79">
              <w:rPr>
                <w:sz w:val="24"/>
                <w:szCs w:val="24"/>
              </w:rPr>
              <w:t>грн</w:t>
            </w:r>
            <w:proofErr w:type="spellEnd"/>
            <w:r w:rsidR="00396E79">
              <w:rPr>
                <w:sz w:val="24"/>
                <w:szCs w:val="24"/>
              </w:rPr>
              <w:t xml:space="preserve"> та 19,34 грн</w:t>
            </w:r>
            <w:r w:rsidRPr="000D1F6C">
              <w:rPr>
                <w:sz w:val="24"/>
                <w:szCs w:val="24"/>
              </w:rPr>
              <w:t xml:space="preserve"> у погодинному розмірі.</w:t>
            </w:r>
          </w:p>
        </w:tc>
      </w:tr>
      <w:tr w:rsidR="005362B1" w:rsidRPr="000D1F6C" w:rsidTr="00396E79">
        <w:tc>
          <w:tcPr>
            <w:tcW w:w="9606" w:type="dxa"/>
            <w:gridSpan w:val="6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5362B1" w:rsidRPr="000D1F6C" w:rsidTr="00396E79">
        <w:tc>
          <w:tcPr>
            <w:tcW w:w="817" w:type="dxa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362B1" w:rsidRPr="000D1F6C" w:rsidRDefault="005362B1" w:rsidP="00396E79">
            <w:pPr>
              <w:jc w:val="both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:rsidR="005362B1" w:rsidRPr="000D1F6C" w:rsidRDefault="005362B1" w:rsidP="00396E79">
            <w:pPr>
              <w:jc w:val="both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Формула:</w:t>
            </w:r>
          </w:p>
          <w:p w:rsidR="005362B1" w:rsidRPr="000D1F6C" w:rsidRDefault="005362B1" w:rsidP="00396E79">
            <w:pPr>
              <w:jc w:val="both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витрати часу на отримання інформації про регулювання</w:t>
            </w:r>
            <w:r>
              <w:rPr>
                <w:sz w:val="24"/>
                <w:szCs w:val="24"/>
              </w:rPr>
              <w:t xml:space="preserve"> щодо</w:t>
            </w:r>
            <w:r w:rsidRPr="000D1F6C">
              <w:rPr>
                <w:sz w:val="24"/>
                <w:szCs w:val="24"/>
              </w:rPr>
              <w:t xml:space="preserve"> </w:t>
            </w:r>
            <w:r w:rsidRPr="000D1F6C">
              <w:rPr>
                <w:color w:val="000000"/>
                <w:sz w:val="24"/>
                <w:szCs w:val="24"/>
              </w:rPr>
              <w:t xml:space="preserve">проведення  </w:t>
            </w:r>
            <w:r w:rsidRPr="000D1F6C">
              <w:rPr>
                <w:sz w:val="24"/>
                <w:szCs w:val="24"/>
              </w:rPr>
              <w:t>реєстрації (перереєстрації), зняття з обліку транспортних засобів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362B1" w:rsidRPr="00396E79" w:rsidRDefault="00396E79" w:rsidP="00396E79">
            <w:pPr>
              <w:tabs>
                <w:tab w:val="left" w:pos="643"/>
                <w:tab w:val="center" w:pos="74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19,34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362B1" w:rsidRPr="00396E79" w:rsidRDefault="00396E79" w:rsidP="00396E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96,7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5362B1" w:rsidRPr="000D1F6C" w:rsidTr="00396E79">
        <w:tc>
          <w:tcPr>
            <w:tcW w:w="817" w:type="dxa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362B1" w:rsidRPr="000D1F6C" w:rsidRDefault="005362B1" w:rsidP="00396E79">
            <w:pPr>
              <w:jc w:val="both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 xml:space="preserve">Процедури організації отримання адміністративної послуги з </w:t>
            </w:r>
            <w:r w:rsidRPr="00B430BF">
              <w:rPr>
                <w:color w:val="000000"/>
                <w:sz w:val="24"/>
                <w:szCs w:val="24"/>
              </w:rPr>
              <w:t xml:space="preserve">проведення  </w:t>
            </w:r>
            <w:r w:rsidRPr="00B430BF">
              <w:rPr>
                <w:sz w:val="24"/>
                <w:szCs w:val="24"/>
              </w:rPr>
              <w:t>реєстрації (перереєстрації), зняття з обліку транспортних засобів</w:t>
            </w:r>
            <w:r w:rsidRPr="000D1F6C">
              <w:rPr>
                <w:sz w:val="24"/>
                <w:szCs w:val="24"/>
              </w:rPr>
              <w:t xml:space="preserve"> </w:t>
            </w:r>
          </w:p>
          <w:p w:rsidR="005362B1" w:rsidRPr="000D1F6C" w:rsidRDefault="005362B1" w:rsidP="00396E79">
            <w:pPr>
              <w:jc w:val="both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Формула:</w:t>
            </w:r>
          </w:p>
          <w:p w:rsidR="005362B1" w:rsidRPr="000D1F6C" w:rsidRDefault="005362B1" w:rsidP="00396E79">
            <w:pPr>
              <w:jc w:val="both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витрати часу на отримання послуги суб’єктом малого підприємництва + вартість адміністративної послуги Х середня кількість  послуг, отриманих суб’єктами господарювання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Вартість адміністративної послуги</w:t>
            </w:r>
            <w:r>
              <w:rPr>
                <w:sz w:val="24"/>
                <w:szCs w:val="24"/>
              </w:rPr>
              <w:t>*</w:t>
            </w:r>
            <w:r w:rsidRPr="000D1F6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1010</w:t>
            </w:r>
            <w:r w:rsidR="00396E79">
              <w:rPr>
                <w:sz w:val="24"/>
                <w:szCs w:val="24"/>
              </w:rPr>
              <w:t> грн</w:t>
            </w:r>
            <w:r w:rsidRPr="000D1F6C">
              <w:rPr>
                <w:sz w:val="24"/>
                <w:szCs w:val="24"/>
              </w:rPr>
              <w:t xml:space="preserve"> за одну послугу) </w:t>
            </w:r>
          </w:p>
          <w:p w:rsidR="005362B1" w:rsidRPr="000D1F6C" w:rsidRDefault="005362B1" w:rsidP="00396E79">
            <w:pPr>
              <w:jc w:val="center"/>
              <w:rPr>
                <w:sz w:val="24"/>
                <w:szCs w:val="24"/>
              </w:rPr>
            </w:pPr>
            <w:r w:rsidRPr="000D1F6C">
              <w:rPr>
                <w:sz w:val="24"/>
                <w:szCs w:val="24"/>
              </w:rPr>
              <w:t>+</w:t>
            </w:r>
          </w:p>
          <w:p w:rsidR="005362B1" w:rsidRPr="00396E79" w:rsidRDefault="005362B1" w:rsidP="00396E79">
            <w:pPr>
              <w:jc w:val="center"/>
              <w:rPr>
                <w:sz w:val="24"/>
                <w:szCs w:val="24"/>
                <w:lang w:val="ru-RU"/>
              </w:rPr>
            </w:pPr>
            <w:r w:rsidRPr="000D1F6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приблиз</w:t>
            </w:r>
            <w:r w:rsidRPr="000D1F6C">
              <w:rPr>
                <w:sz w:val="24"/>
                <w:szCs w:val="24"/>
              </w:rPr>
              <w:t>ний час оформл</w:t>
            </w:r>
            <w:r w:rsidR="00396E79">
              <w:rPr>
                <w:sz w:val="24"/>
                <w:szCs w:val="24"/>
              </w:rPr>
              <w:t>ення документів становить 3 год = 58,02 </w:t>
            </w:r>
            <w:proofErr w:type="spellStart"/>
            <w:r w:rsidR="00396E79">
              <w:rPr>
                <w:sz w:val="24"/>
                <w:szCs w:val="24"/>
              </w:rPr>
              <w:t>грн</w:t>
            </w:r>
            <w:proofErr w:type="spellEnd"/>
            <w:r w:rsidR="00396E79">
              <w:rPr>
                <w:sz w:val="24"/>
                <w:szCs w:val="24"/>
              </w:rPr>
              <w:t>)</w:t>
            </w:r>
            <w:r w:rsidRPr="000D1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w:r w:rsidR="00396E79" w:rsidRPr="00396E7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1068, 02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5362B1" w:rsidRPr="00396E79" w:rsidRDefault="005362B1" w:rsidP="00396E79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5340,1</w:t>
            </w:r>
            <w:r w:rsidR="00396E79">
              <w:rPr>
                <w:sz w:val="24"/>
                <w:szCs w:val="24"/>
              </w:rPr>
              <w:t xml:space="preserve"> </w:t>
            </w:r>
            <w:proofErr w:type="spellStart"/>
            <w:r w:rsidR="00396E79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5362B1" w:rsidRPr="00450812" w:rsidTr="00396E79">
        <w:tc>
          <w:tcPr>
            <w:tcW w:w="817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081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Разом, гривень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362B1" w:rsidRPr="00396E79" w:rsidRDefault="005362B1" w:rsidP="00396E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1087,36</w:t>
            </w:r>
            <w:r w:rsidR="00396E79">
              <w:rPr>
                <w:sz w:val="24"/>
                <w:szCs w:val="24"/>
              </w:rPr>
              <w:t xml:space="preserve"> </w:t>
            </w:r>
            <w:proofErr w:type="spellStart"/>
            <w:r w:rsidR="00396E7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5362B1" w:rsidRPr="00396E79" w:rsidRDefault="005362B1" w:rsidP="00396E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5436,8</w:t>
            </w:r>
            <w:r w:rsidRPr="00450812">
              <w:rPr>
                <w:sz w:val="24"/>
                <w:szCs w:val="24"/>
              </w:rPr>
              <w:t xml:space="preserve"> </w:t>
            </w:r>
            <w:proofErr w:type="spellStart"/>
            <w:r w:rsidRPr="00450812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5362B1" w:rsidRPr="00450812" w:rsidTr="00396E79">
        <w:tc>
          <w:tcPr>
            <w:tcW w:w="817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81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Кількість суб’єктів малого підприємництва, що повинні виконати вимоги регулювання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5362B1" w:rsidRPr="00450812" w:rsidTr="00396E79">
        <w:tc>
          <w:tcPr>
            <w:tcW w:w="817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081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Сумарно, гривень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Формула: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 xml:space="preserve">відповідний стовпчик “разом” Х кількість суб’єктів малого підприємництва, що повинні виконати вимоги регулювання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362B1" w:rsidRPr="00396E79" w:rsidRDefault="00396E79" w:rsidP="00396E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632,843.52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5362B1" w:rsidRPr="00396E79" w:rsidRDefault="00396E79" w:rsidP="00396E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3 164 217,</w:t>
            </w:r>
            <w:r w:rsidR="005362B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</w:tbl>
    <w:p w:rsidR="001819D1" w:rsidRDefault="001819D1" w:rsidP="005362B1">
      <w:pPr>
        <w:widowControl w:val="0"/>
        <w:shd w:val="clear" w:color="auto" w:fill="FFFFFF"/>
        <w:ind w:firstLine="450"/>
        <w:jc w:val="both"/>
        <w:textAlignment w:val="baseline"/>
        <w:rPr>
          <w:sz w:val="24"/>
          <w:szCs w:val="24"/>
        </w:rPr>
      </w:pPr>
    </w:p>
    <w:p w:rsidR="005362B1" w:rsidRPr="00396E79" w:rsidRDefault="005362B1" w:rsidP="005362B1">
      <w:pPr>
        <w:widowControl w:val="0"/>
        <w:shd w:val="clear" w:color="auto" w:fill="FFFFFF"/>
        <w:ind w:firstLine="45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*</w:t>
      </w:r>
      <w:r w:rsidRPr="000D1F6C">
        <w:rPr>
          <w:sz w:val="24"/>
          <w:szCs w:val="24"/>
        </w:rPr>
        <w:t xml:space="preserve">Під адміністративною послугою розуміється </w:t>
      </w:r>
      <w:r>
        <w:rPr>
          <w:sz w:val="24"/>
          <w:szCs w:val="24"/>
        </w:rPr>
        <w:t>а</w:t>
      </w:r>
      <w:r w:rsidRPr="000D1F6C">
        <w:rPr>
          <w:sz w:val="24"/>
          <w:szCs w:val="24"/>
          <w:bdr w:val="none" w:sz="0" w:space="0" w:color="auto" w:frame="1"/>
        </w:rPr>
        <w:t>дміністративний збір</w:t>
      </w:r>
      <w:r>
        <w:rPr>
          <w:sz w:val="24"/>
          <w:szCs w:val="24"/>
          <w:bdr w:val="none" w:sz="0" w:space="0" w:color="auto" w:frame="1"/>
        </w:rPr>
        <w:t>, що</w:t>
      </w:r>
      <w:r w:rsidRPr="000D1F6C">
        <w:rPr>
          <w:sz w:val="24"/>
          <w:szCs w:val="24"/>
          <w:bdr w:val="none" w:sz="0" w:space="0" w:color="auto" w:frame="1"/>
        </w:rPr>
        <w:t xml:space="preserve"> справляється  за державну реєстрацію (перереєстрацію зі зміною власника) всіх типів автомобілів, автобусів із видачею номерних знаків</w:t>
      </w:r>
      <w:r>
        <w:rPr>
          <w:sz w:val="24"/>
          <w:szCs w:val="24"/>
          <w:bdr w:val="none" w:sz="0" w:space="0" w:color="auto" w:frame="1"/>
        </w:rPr>
        <w:t xml:space="preserve"> та дорівнює </w:t>
      </w:r>
      <w:r w:rsidRPr="000D1F6C">
        <w:rPr>
          <w:sz w:val="24"/>
          <w:szCs w:val="24"/>
          <w:bdr w:val="none" w:sz="0" w:space="0" w:color="auto" w:frame="1"/>
        </w:rPr>
        <w:t>0,6 розміру прожиткового</w:t>
      </w:r>
      <w:r>
        <w:rPr>
          <w:sz w:val="24"/>
          <w:szCs w:val="24"/>
          <w:bdr w:val="none" w:sz="0" w:space="0" w:color="auto" w:frame="1"/>
        </w:rPr>
        <w:t xml:space="preserve"> мінімуму для пр</w:t>
      </w:r>
      <w:r w:rsidR="00396E79">
        <w:rPr>
          <w:sz w:val="24"/>
          <w:szCs w:val="24"/>
          <w:bdr w:val="none" w:sz="0" w:space="0" w:color="auto" w:frame="1"/>
        </w:rPr>
        <w:t xml:space="preserve">ацездатних осіб, тобто 1010 </w:t>
      </w:r>
      <w:proofErr w:type="spellStart"/>
      <w:r w:rsidR="00396E79">
        <w:rPr>
          <w:sz w:val="24"/>
          <w:szCs w:val="24"/>
          <w:bdr w:val="none" w:sz="0" w:space="0" w:color="auto" w:frame="1"/>
        </w:rPr>
        <w:t>грн</w:t>
      </w:r>
      <w:proofErr w:type="spellEnd"/>
      <w:r>
        <w:rPr>
          <w:sz w:val="24"/>
          <w:szCs w:val="24"/>
          <w:bdr w:val="none" w:sz="0" w:space="0" w:color="auto" w:frame="1"/>
        </w:rPr>
        <w:t xml:space="preserve"> з урахуванням установленого на даний період прожиткового мінімуму на одну особу в розрахунку на місяць для працездатних осіб з </w:t>
      </w:r>
      <w:r w:rsidR="00396E79">
        <w:rPr>
          <w:sz w:val="24"/>
          <w:szCs w:val="24"/>
          <w:bdr w:val="none" w:sz="0" w:space="0" w:color="auto" w:frame="1"/>
        </w:rPr>
        <w:lastRenderedPageBreak/>
        <w:t>01.09.2017 у розмірі – 1684 грн.</w:t>
      </w:r>
      <w:bookmarkStart w:id="0" w:name="_GoBack"/>
      <w:bookmarkEnd w:id="0"/>
    </w:p>
    <w:p w:rsidR="00396E79" w:rsidRPr="00396E79" w:rsidRDefault="00396E79" w:rsidP="005362B1">
      <w:pPr>
        <w:widowControl w:val="0"/>
        <w:shd w:val="clear" w:color="auto" w:fill="FFFFFF"/>
        <w:ind w:firstLine="45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:rsidR="005362B1" w:rsidRPr="00740E78" w:rsidRDefault="005362B1" w:rsidP="005362B1">
      <w:pPr>
        <w:jc w:val="center"/>
        <w:rPr>
          <w:szCs w:val="28"/>
        </w:rPr>
      </w:pPr>
      <w:r w:rsidRPr="00740E78">
        <w:rPr>
          <w:szCs w:val="28"/>
        </w:rPr>
        <w:t>Бюджетні витрати на адміністрування регулювання суб’єктів малого підприємництва</w:t>
      </w:r>
    </w:p>
    <w:p w:rsidR="005362B1" w:rsidRPr="00740E78" w:rsidRDefault="005362B1" w:rsidP="005362B1">
      <w:pPr>
        <w:jc w:val="center"/>
        <w:rPr>
          <w:szCs w:val="28"/>
        </w:rPr>
      </w:pPr>
    </w:p>
    <w:p w:rsidR="005362B1" w:rsidRPr="00740E78" w:rsidRDefault="005362B1" w:rsidP="005362B1">
      <w:pPr>
        <w:ind w:firstLine="720"/>
        <w:jc w:val="both"/>
        <w:rPr>
          <w:szCs w:val="28"/>
        </w:rPr>
      </w:pPr>
      <w:r w:rsidRPr="00740E78">
        <w:rPr>
          <w:szCs w:val="28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5362B1" w:rsidRPr="00740E78" w:rsidRDefault="005362B1" w:rsidP="005362B1">
      <w:pPr>
        <w:jc w:val="both"/>
        <w:rPr>
          <w:szCs w:val="28"/>
        </w:rPr>
      </w:pPr>
    </w:p>
    <w:p w:rsidR="005362B1" w:rsidRPr="00740E78" w:rsidRDefault="005362B1" w:rsidP="005362B1">
      <w:pPr>
        <w:ind w:firstLine="720"/>
        <w:jc w:val="both"/>
        <w:rPr>
          <w:szCs w:val="28"/>
        </w:rPr>
      </w:pPr>
      <w:r w:rsidRPr="00740E78">
        <w:rPr>
          <w:szCs w:val="28"/>
        </w:rPr>
        <w:t>Державний орган, для якого здійснюється розрахунок вартості адміністрування регулювання:</w:t>
      </w:r>
    </w:p>
    <w:p w:rsidR="005362B1" w:rsidRPr="00740E78" w:rsidRDefault="005362B1" w:rsidP="005362B1">
      <w:pPr>
        <w:jc w:val="center"/>
        <w:rPr>
          <w:szCs w:val="28"/>
        </w:rPr>
      </w:pPr>
      <w:r w:rsidRPr="00740E78">
        <w:rPr>
          <w:szCs w:val="28"/>
          <w:u w:val="single"/>
        </w:rPr>
        <w:t xml:space="preserve">Територіальний орган Міністерства внутрішніх справ України </w:t>
      </w:r>
    </w:p>
    <w:p w:rsidR="005362B1" w:rsidRPr="00450812" w:rsidRDefault="005362B1" w:rsidP="005362B1">
      <w:pPr>
        <w:ind w:left="2160" w:firstLine="720"/>
        <w:rPr>
          <w:sz w:val="24"/>
          <w:szCs w:val="24"/>
        </w:rPr>
      </w:pPr>
      <w:r w:rsidRPr="00450812">
        <w:rPr>
          <w:sz w:val="24"/>
          <w:szCs w:val="24"/>
        </w:rPr>
        <w:t>(назва державного органу)</w:t>
      </w:r>
    </w:p>
    <w:p w:rsidR="005362B1" w:rsidRPr="00740E78" w:rsidRDefault="005362B1" w:rsidP="005362B1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843"/>
        <w:gridCol w:w="1417"/>
        <w:gridCol w:w="2126"/>
      </w:tblGrid>
      <w:tr w:rsidR="005362B1" w:rsidRPr="00450812" w:rsidTr="00396E79">
        <w:tc>
          <w:tcPr>
            <w:tcW w:w="1809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Процедура регулювання суб’єктів малого підприємництва (розрахунок на одного суб’єкта господарювання малого та мікро</w:t>
            </w:r>
            <w:r>
              <w:rPr>
                <w:sz w:val="24"/>
                <w:szCs w:val="24"/>
              </w:rPr>
              <w:t xml:space="preserve">- </w:t>
            </w:r>
            <w:r w:rsidRPr="00450812">
              <w:rPr>
                <w:sz w:val="24"/>
                <w:szCs w:val="24"/>
              </w:rPr>
              <w:t>підприємництв</w:t>
            </w:r>
            <w:r>
              <w:rPr>
                <w:sz w:val="24"/>
                <w:szCs w:val="24"/>
              </w:rPr>
              <w:t>а</w:t>
            </w:r>
            <w:r w:rsidRPr="00450812">
              <w:rPr>
                <w:sz w:val="24"/>
                <w:szCs w:val="24"/>
              </w:rPr>
              <w:t>)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2B1" w:rsidRPr="00450812" w:rsidRDefault="005362B1" w:rsidP="00396E79">
            <w:pPr>
              <w:ind w:left="-108"/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Планові витрати часу на процедуру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62B1" w:rsidRPr="00450812" w:rsidRDefault="005362B1" w:rsidP="00396E79">
            <w:pPr>
              <w:ind w:left="-108"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часу співробітни</w:t>
            </w:r>
            <w:r w:rsidRPr="00450812">
              <w:rPr>
                <w:sz w:val="24"/>
                <w:szCs w:val="24"/>
              </w:rPr>
              <w:t>ка органу державної влади відповідної категорії (заробітна плата)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62B1" w:rsidRPr="00450812" w:rsidRDefault="005362B1" w:rsidP="00396E79">
            <w:pPr>
              <w:ind w:left="-108" w:right="-107"/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Оцінка кілько</w:t>
            </w:r>
            <w:r>
              <w:rPr>
                <w:sz w:val="24"/>
                <w:szCs w:val="24"/>
              </w:rPr>
              <w:t>сті процедур за рік, що припада</w:t>
            </w:r>
            <w:r w:rsidRPr="00450812">
              <w:rPr>
                <w:sz w:val="24"/>
                <w:szCs w:val="24"/>
              </w:rPr>
              <w:t>ють на одного суб’єкта</w:t>
            </w:r>
          </w:p>
          <w:p w:rsidR="005362B1" w:rsidRPr="00450812" w:rsidRDefault="005362B1" w:rsidP="00396E79">
            <w:pPr>
              <w:ind w:left="-108"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362B1" w:rsidRPr="00450812" w:rsidRDefault="005362B1" w:rsidP="00396E79">
            <w:pPr>
              <w:ind w:left="-108" w:right="-107"/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Оцінка кількості  суб’єктів, що підпада</w:t>
            </w:r>
            <w:r>
              <w:rPr>
                <w:sz w:val="24"/>
                <w:szCs w:val="24"/>
              </w:rPr>
              <w:t>ють під дію процедури регулюван</w:t>
            </w:r>
            <w:r w:rsidRPr="00450812">
              <w:rPr>
                <w:sz w:val="24"/>
                <w:szCs w:val="24"/>
              </w:rPr>
              <w:t>ня</w:t>
            </w:r>
          </w:p>
          <w:p w:rsidR="005362B1" w:rsidRPr="00450812" w:rsidRDefault="005362B1" w:rsidP="00396E79">
            <w:pPr>
              <w:ind w:left="-108"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62B1" w:rsidRPr="00450812" w:rsidRDefault="005362B1" w:rsidP="00396E79">
            <w:pPr>
              <w:ind w:left="-108" w:right="-108"/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Витрати на адміністрування регулювання* (за рік), гривень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</w:tr>
      <w:tr w:rsidR="005362B1" w:rsidRPr="00450812" w:rsidTr="00396E79">
        <w:tc>
          <w:tcPr>
            <w:tcW w:w="1809" w:type="dxa"/>
            <w:shd w:val="clear" w:color="auto" w:fill="auto"/>
          </w:tcPr>
          <w:p w:rsidR="005362B1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7. Інші</w:t>
            </w:r>
          </w:p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 xml:space="preserve"> адміністративні процедури (уточнити) </w:t>
            </w:r>
          </w:p>
        </w:tc>
        <w:tc>
          <w:tcPr>
            <w:tcW w:w="1134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color w:val="FF0000"/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Вартість часу співробітника органу державної влади відповідної категорії, що надає адміністратив</w:t>
            </w:r>
            <w:r w:rsidR="00396E79">
              <w:rPr>
                <w:sz w:val="24"/>
                <w:szCs w:val="24"/>
              </w:rPr>
              <w:t xml:space="preserve">ну послугу, становить 65,39 </w:t>
            </w:r>
            <w:proofErr w:type="spellStart"/>
            <w:r w:rsidR="00396E7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62B1" w:rsidRDefault="005362B1" w:rsidP="00396E79">
            <w:pPr>
              <w:ind w:left="-108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450812">
              <w:rPr>
                <w:sz w:val="24"/>
                <w:szCs w:val="24"/>
              </w:rPr>
              <w:t xml:space="preserve">У середньому </w:t>
            </w:r>
            <w:r w:rsidRPr="00BE5D73">
              <w:rPr>
                <w:sz w:val="24"/>
                <w:szCs w:val="24"/>
              </w:rPr>
              <w:t>1 п</w:t>
            </w:r>
            <w:r w:rsidRPr="00450812">
              <w:rPr>
                <w:sz w:val="24"/>
                <w:szCs w:val="24"/>
              </w:rPr>
              <w:t>роцедур</w:t>
            </w:r>
            <w:r>
              <w:rPr>
                <w:sz w:val="24"/>
                <w:szCs w:val="24"/>
              </w:rPr>
              <w:t>а</w:t>
            </w:r>
            <w:r w:rsidRPr="00450812">
              <w:rPr>
                <w:sz w:val="24"/>
                <w:szCs w:val="24"/>
              </w:rPr>
              <w:t xml:space="preserve"> </w:t>
            </w:r>
            <w:r w:rsidRPr="000D1F6C">
              <w:rPr>
                <w:sz w:val="24"/>
                <w:szCs w:val="24"/>
                <w:bdr w:val="none" w:sz="0" w:space="0" w:color="auto" w:frame="1"/>
              </w:rPr>
              <w:t>за державну реєстрацію (перереєстрацію зі зміною власника) всіх типів автомобілів, автобусів із видачею номерних знаків</w:t>
            </w:r>
          </w:p>
          <w:p w:rsidR="005362B1" w:rsidRPr="00450812" w:rsidRDefault="005362B1" w:rsidP="00396E7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126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3 589 911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  <w:p w:rsidR="005362B1" w:rsidRPr="00450812" w:rsidRDefault="005362B1" w:rsidP="00396E79">
            <w:pPr>
              <w:ind w:left="-108"/>
              <w:jc w:val="center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 xml:space="preserve">(витрати часу на </w:t>
            </w:r>
            <w:r w:rsidRPr="000D1F6C">
              <w:rPr>
                <w:sz w:val="24"/>
                <w:szCs w:val="24"/>
                <w:bdr w:val="none" w:sz="0" w:space="0" w:color="auto" w:frame="1"/>
              </w:rPr>
              <w:t xml:space="preserve">за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адміністративну послугу з </w:t>
            </w:r>
            <w:r w:rsidRPr="000D1F6C">
              <w:rPr>
                <w:sz w:val="24"/>
                <w:szCs w:val="24"/>
                <w:bdr w:val="none" w:sz="0" w:space="0" w:color="auto" w:frame="1"/>
              </w:rPr>
              <w:t>державн</w:t>
            </w:r>
            <w:r>
              <w:rPr>
                <w:sz w:val="24"/>
                <w:szCs w:val="24"/>
                <w:bdr w:val="none" w:sz="0" w:space="0" w:color="auto" w:frame="1"/>
              </w:rPr>
              <w:t>ої</w:t>
            </w:r>
            <w:r w:rsidRPr="000D1F6C">
              <w:rPr>
                <w:sz w:val="24"/>
                <w:szCs w:val="24"/>
                <w:bdr w:val="none" w:sz="0" w:space="0" w:color="auto" w:frame="1"/>
              </w:rPr>
              <w:t xml:space="preserve"> реєстраці</w:t>
            </w:r>
            <w:r>
              <w:rPr>
                <w:sz w:val="24"/>
                <w:szCs w:val="24"/>
                <w:bdr w:val="none" w:sz="0" w:space="0" w:color="auto" w:frame="1"/>
              </w:rPr>
              <w:t>ї</w:t>
            </w:r>
            <w:r w:rsidRPr="000D1F6C">
              <w:rPr>
                <w:sz w:val="24"/>
                <w:szCs w:val="24"/>
                <w:bdr w:val="none" w:sz="0" w:space="0" w:color="auto" w:frame="1"/>
              </w:rPr>
              <w:t xml:space="preserve"> (перереєстраці</w:t>
            </w:r>
            <w:r>
              <w:rPr>
                <w:sz w:val="24"/>
                <w:szCs w:val="24"/>
                <w:bdr w:val="none" w:sz="0" w:space="0" w:color="auto" w:frame="1"/>
              </w:rPr>
              <w:t>ї</w:t>
            </w:r>
            <w:r w:rsidRPr="000D1F6C">
              <w:rPr>
                <w:sz w:val="24"/>
                <w:szCs w:val="24"/>
                <w:bdr w:val="none" w:sz="0" w:space="0" w:color="auto" w:frame="1"/>
              </w:rPr>
              <w:t xml:space="preserve"> зі зміною власника) всіх типів автомобілів, автобусів із видачею номерних знаків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50812">
              <w:rPr>
                <w:sz w:val="24"/>
                <w:szCs w:val="24"/>
              </w:rPr>
              <w:t xml:space="preserve">Х вартість часу </w:t>
            </w:r>
            <w:r>
              <w:rPr>
                <w:sz w:val="24"/>
                <w:szCs w:val="24"/>
              </w:rPr>
              <w:t>співробітни</w:t>
            </w:r>
            <w:r w:rsidRPr="00450812">
              <w:rPr>
                <w:sz w:val="24"/>
                <w:szCs w:val="24"/>
              </w:rPr>
              <w:t>ка органу державної влади відповідної категорії Х кількості процедур за рік, що припадають на одного суб’єкта Х кількості суб’єктів)</w:t>
            </w:r>
          </w:p>
        </w:tc>
      </w:tr>
      <w:tr w:rsidR="005362B1" w:rsidRPr="00450812" w:rsidTr="00396E79">
        <w:tc>
          <w:tcPr>
            <w:tcW w:w="1809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lastRenderedPageBreak/>
              <w:t>Разом за рік</w:t>
            </w:r>
          </w:p>
        </w:tc>
        <w:tc>
          <w:tcPr>
            <w:tcW w:w="1134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65,39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1 процедур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126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38 056,</w:t>
            </w:r>
            <w:r w:rsidR="005362B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5362B1" w:rsidRPr="00450812" w:rsidTr="00396E79">
        <w:tc>
          <w:tcPr>
            <w:tcW w:w="1809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Сумарно за п’ять років</w:t>
            </w:r>
          </w:p>
        </w:tc>
        <w:tc>
          <w:tcPr>
            <w:tcW w:w="1134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65,39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0812">
              <w:rPr>
                <w:sz w:val="24"/>
                <w:szCs w:val="24"/>
              </w:rPr>
              <w:t>процедур</w:t>
            </w:r>
          </w:p>
        </w:tc>
        <w:tc>
          <w:tcPr>
            <w:tcW w:w="1417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126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190 284,</w:t>
            </w:r>
            <w:r w:rsidR="005362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</w:tbl>
    <w:p w:rsidR="005362B1" w:rsidRPr="00740E78" w:rsidRDefault="005362B1" w:rsidP="005362B1">
      <w:pPr>
        <w:ind w:left="2160" w:firstLine="720"/>
        <w:rPr>
          <w:szCs w:val="28"/>
        </w:rPr>
      </w:pPr>
    </w:p>
    <w:p w:rsidR="005362B1" w:rsidRPr="00740E78" w:rsidRDefault="005362B1" w:rsidP="005362B1">
      <w:pPr>
        <w:ind w:firstLine="720"/>
        <w:jc w:val="both"/>
        <w:rPr>
          <w:szCs w:val="28"/>
        </w:rPr>
      </w:pPr>
      <w:r w:rsidRPr="00740E78">
        <w:rPr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5362B1" w:rsidRPr="00740E78" w:rsidRDefault="005362B1" w:rsidP="005362B1">
      <w:pPr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5362B1" w:rsidRPr="00450812" w:rsidTr="00396E79"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Назва державного органу</w:t>
            </w:r>
          </w:p>
        </w:tc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Витрати на адміністрування регулювання за рік, гривень</w:t>
            </w:r>
          </w:p>
        </w:tc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Сумарні витрати на адміністрування регулювання за п’ять  років, гривень</w:t>
            </w:r>
          </w:p>
        </w:tc>
      </w:tr>
      <w:tr w:rsidR="005362B1" w:rsidRPr="00450812" w:rsidTr="00396E79"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both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 w:rsidRPr="00450812">
              <w:rPr>
                <w:sz w:val="24"/>
                <w:szCs w:val="24"/>
              </w:rPr>
              <w:t xml:space="preserve">Територіальні органи МВС </w:t>
            </w:r>
          </w:p>
        </w:tc>
        <w:tc>
          <w:tcPr>
            <w:tcW w:w="2462" w:type="dxa"/>
            <w:shd w:val="clear" w:color="auto" w:fill="auto"/>
          </w:tcPr>
          <w:p w:rsidR="005362B1" w:rsidRPr="00BF33C3" w:rsidRDefault="00396E79" w:rsidP="00396E7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38 056,</w:t>
            </w:r>
            <w:r w:rsidR="005362B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5362B1" w:rsidRPr="00BF33C3" w:rsidRDefault="00396E79" w:rsidP="00396E7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190 284,</w:t>
            </w:r>
            <w:r w:rsidR="005362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</w:tbl>
    <w:p w:rsidR="005362B1" w:rsidRDefault="005362B1" w:rsidP="005362B1">
      <w:pPr>
        <w:jc w:val="center"/>
        <w:rPr>
          <w:szCs w:val="28"/>
        </w:rPr>
      </w:pPr>
    </w:p>
    <w:p w:rsidR="005362B1" w:rsidRPr="00740E78" w:rsidRDefault="005362B1" w:rsidP="005362B1">
      <w:pPr>
        <w:jc w:val="center"/>
        <w:rPr>
          <w:szCs w:val="28"/>
        </w:rPr>
      </w:pPr>
      <w:r w:rsidRPr="00740E78">
        <w:rPr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5362B1" w:rsidRPr="00740E78" w:rsidRDefault="005362B1" w:rsidP="005362B1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5"/>
        <w:gridCol w:w="2462"/>
        <w:gridCol w:w="2462"/>
      </w:tblGrid>
      <w:tr w:rsidR="005362B1" w:rsidRPr="00BF33C3" w:rsidTr="00396E79">
        <w:tc>
          <w:tcPr>
            <w:tcW w:w="959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 w:rsidRPr="00BF33C3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965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 w:rsidRPr="00BF33C3">
              <w:rPr>
                <w:sz w:val="24"/>
                <w:szCs w:val="24"/>
              </w:rPr>
              <w:t>Показник</w:t>
            </w:r>
          </w:p>
        </w:tc>
        <w:tc>
          <w:tcPr>
            <w:tcW w:w="2462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 w:rsidRPr="00BF33C3">
              <w:rPr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2462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 w:rsidRPr="00BF33C3">
              <w:rPr>
                <w:sz w:val="24"/>
                <w:szCs w:val="24"/>
              </w:rPr>
              <w:t>За п’ять років</w:t>
            </w:r>
          </w:p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</w:p>
        </w:tc>
      </w:tr>
      <w:tr w:rsidR="005362B1" w:rsidRPr="00BF33C3" w:rsidTr="00396E79">
        <w:tc>
          <w:tcPr>
            <w:tcW w:w="959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33C3">
              <w:rPr>
                <w:sz w:val="24"/>
                <w:szCs w:val="24"/>
              </w:rPr>
              <w:t>.</w:t>
            </w:r>
          </w:p>
        </w:tc>
        <w:tc>
          <w:tcPr>
            <w:tcW w:w="3965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 w:rsidRPr="00BF33C3">
              <w:rPr>
                <w:sz w:val="24"/>
                <w:szCs w:val="24"/>
              </w:rPr>
              <w:t xml:space="preserve">Оцінка вартості адміністративних процедур для </w:t>
            </w:r>
            <w:r>
              <w:rPr>
                <w:sz w:val="24"/>
                <w:szCs w:val="24"/>
              </w:rPr>
              <w:t xml:space="preserve">одного </w:t>
            </w:r>
            <w:r w:rsidRPr="00BF33C3">
              <w:rPr>
                <w:sz w:val="24"/>
                <w:szCs w:val="24"/>
              </w:rPr>
              <w:t>суб’єкт</w:t>
            </w:r>
            <w:r>
              <w:rPr>
                <w:sz w:val="24"/>
                <w:szCs w:val="24"/>
              </w:rPr>
              <w:t>а</w:t>
            </w:r>
            <w:r w:rsidRPr="00BF33C3">
              <w:rPr>
                <w:sz w:val="24"/>
                <w:szCs w:val="24"/>
              </w:rPr>
              <w:t xml:space="preserve"> малого підприємництва щодо виконання регулювання та звітування</w:t>
            </w:r>
          </w:p>
        </w:tc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1087,36</w:t>
            </w:r>
            <w:r w:rsidR="00396E79">
              <w:rPr>
                <w:sz w:val="24"/>
                <w:szCs w:val="24"/>
              </w:rPr>
              <w:t xml:space="preserve"> </w:t>
            </w:r>
            <w:proofErr w:type="spellStart"/>
            <w:r w:rsidR="00396E7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5362B1" w:rsidRPr="00450812" w:rsidRDefault="005362B1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5436,8</w:t>
            </w:r>
            <w:r w:rsidRPr="00450812">
              <w:rPr>
                <w:sz w:val="24"/>
                <w:szCs w:val="24"/>
              </w:rPr>
              <w:t xml:space="preserve"> </w:t>
            </w:r>
            <w:proofErr w:type="spellStart"/>
            <w:r w:rsidRPr="00450812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5362B1" w:rsidRPr="00BF33C3" w:rsidTr="00396E79">
        <w:tc>
          <w:tcPr>
            <w:tcW w:w="959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33C3">
              <w:rPr>
                <w:sz w:val="24"/>
                <w:szCs w:val="24"/>
              </w:rPr>
              <w:t>.</w:t>
            </w:r>
          </w:p>
        </w:tc>
        <w:tc>
          <w:tcPr>
            <w:tcW w:w="3965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 w:rsidRPr="00BF33C3">
              <w:rPr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62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632 843,52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5362B1" w:rsidRPr="00450812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3 164 217,</w:t>
            </w:r>
            <w:r w:rsidR="005362B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5362B1" w:rsidRPr="00BF33C3" w:rsidTr="00396E79">
        <w:tc>
          <w:tcPr>
            <w:tcW w:w="959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33C3">
              <w:rPr>
                <w:sz w:val="24"/>
                <w:szCs w:val="24"/>
              </w:rPr>
              <w:t>.</w:t>
            </w:r>
          </w:p>
        </w:tc>
        <w:tc>
          <w:tcPr>
            <w:tcW w:w="3965" w:type="dxa"/>
            <w:shd w:val="clear" w:color="auto" w:fill="auto"/>
          </w:tcPr>
          <w:p w:rsidR="005362B1" w:rsidRPr="00BF33C3" w:rsidRDefault="005362B1" w:rsidP="00396E79">
            <w:pPr>
              <w:jc w:val="both"/>
              <w:rPr>
                <w:sz w:val="24"/>
                <w:szCs w:val="24"/>
              </w:rPr>
            </w:pPr>
            <w:r w:rsidRPr="00BF33C3">
              <w:rPr>
                <w:sz w:val="24"/>
                <w:szCs w:val="24"/>
              </w:rPr>
              <w:t>Бюджетні витрати  на адміністрування регулювання суб’єктів малого підприємництва</w:t>
            </w:r>
          </w:p>
        </w:tc>
        <w:tc>
          <w:tcPr>
            <w:tcW w:w="2462" w:type="dxa"/>
            <w:shd w:val="clear" w:color="auto" w:fill="auto"/>
          </w:tcPr>
          <w:p w:rsidR="005362B1" w:rsidRPr="00BF33C3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38 056,</w:t>
            </w:r>
            <w:r w:rsidR="005362B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5362B1" w:rsidRPr="00BF33C3" w:rsidRDefault="00396E79" w:rsidP="0039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190 284,</w:t>
            </w:r>
            <w:r w:rsidR="005362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</w:tbl>
    <w:p w:rsidR="005362B1" w:rsidRPr="00740E78" w:rsidRDefault="005362B1" w:rsidP="005362B1">
      <w:pPr>
        <w:jc w:val="center"/>
        <w:rPr>
          <w:szCs w:val="28"/>
        </w:rPr>
      </w:pPr>
    </w:p>
    <w:p w:rsidR="005362B1" w:rsidRDefault="005362B1" w:rsidP="005362B1">
      <w:pPr>
        <w:jc w:val="center"/>
        <w:rPr>
          <w:szCs w:val="28"/>
        </w:rPr>
      </w:pPr>
    </w:p>
    <w:p w:rsidR="00396E79" w:rsidRDefault="00396E79" w:rsidP="0039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szCs w:val="28"/>
        </w:rPr>
      </w:pPr>
      <w:proofErr w:type="spellStart"/>
      <w:r>
        <w:rPr>
          <w:rFonts w:cs="Courier New"/>
          <w:b/>
          <w:szCs w:val="28"/>
        </w:rPr>
        <w:t>Т.в.о</w:t>
      </w:r>
      <w:proofErr w:type="spellEnd"/>
      <w:r>
        <w:rPr>
          <w:rFonts w:cs="Courier New"/>
          <w:b/>
          <w:szCs w:val="28"/>
        </w:rPr>
        <w:t>. Міністра</w:t>
      </w:r>
    </w:p>
    <w:p w:rsidR="00396E79" w:rsidRDefault="00396E79" w:rsidP="0039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szCs w:val="28"/>
          <w:lang w:val="en-US"/>
        </w:rPr>
      </w:pPr>
      <w:r>
        <w:rPr>
          <w:rFonts w:cs="Courier New"/>
          <w:b/>
          <w:szCs w:val="28"/>
        </w:rPr>
        <w:t xml:space="preserve">внутрішніх справ України </w:t>
      </w:r>
      <w:r>
        <w:rPr>
          <w:rFonts w:cs="Courier New"/>
          <w:b/>
          <w:szCs w:val="28"/>
        </w:rPr>
        <w:tab/>
      </w:r>
      <w:r>
        <w:rPr>
          <w:rFonts w:cs="Courier New"/>
          <w:b/>
          <w:szCs w:val="28"/>
        </w:rPr>
        <w:tab/>
      </w:r>
      <w:r>
        <w:rPr>
          <w:rFonts w:cs="Courier New"/>
          <w:b/>
          <w:szCs w:val="28"/>
        </w:rPr>
        <w:tab/>
      </w:r>
      <w:r>
        <w:rPr>
          <w:rFonts w:cs="Courier New"/>
          <w:b/>
          <w:szCs w:val="28"/>
        </w:rPr>
        <w:tab/>
      </w:r>
      <w:r>
        <w:rPr>
          <w:rFonts w:cs="Courier New"/>
          <w:b/>
          <w:szCs w:val="28"/>
        </w:rPr>
        <w:tab/>
        <w:t xml:space="preserve">    Сергій Яровий</w:t>
      </w:r>
    </w:p>
    <w:p w:rsidR="00396E79" w:rsidRPr="00396E79" w:rsidRDefault="00396E79" w:rsidP="00396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szCs w:val="28"/>
          <w:lang w:val="en-US"/>
        </w:rPr>
      </w:pPr>
    </w:p>
    <w:p w:rsidR="00396E79" w:rsidRDefault="00396E79" w:rsidP="00396E79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рік</w:t>
      </w:r>
    </w:p>
    <w:p w:rsidR="006C6877" w:rsidRDefault="006C6877" w:rsidP="00396E79">
      <w:pPr>
        <w:jc w:val="both"/>
      </w:pPr>
    </w:p>
    <w:sectPr w:rsidR="006C6877" w:rsidSect="00396E79">
      <w:headerReference w:type="even" r:id="rId8"/>
      <w:headerReference w:type="default" r:id="rId9"/>
      <w:pgSz w:w="11900" w:h="16820"/>
      <w:pgMar w:top="1134" w:right="567" w:bottom="851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79" w:rsidRDefault="00396E79">
      <w:r>
        <w:separator/>
      </w:r>
    </w:p>
  </w:endnote>
  <w:endnote w:type="continuationSeparator" w:id="0">
    <w:p w:rsidR="00396E79" w:rsidRDefault="003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79" w:rsidRDefault="00396E79">
      <w:r>
        <w:separator/>
      </w:r>
    </w:p>
  </w:footnote>
  <w:footnote w:type="continuationSeparator" w:id="0">
    <w:p w:rsidR="00396E79" w:rsidRDefault="0039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79" w:rsidRDefault="00396E79" w:rsidP="00396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E79" w:rsidRDefault="00396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79" w:rsidRDefault="00396E79" w:rsidP="00396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4A6">
      <w:rPr>
        <w:rStyle w:val="a5"/>
        <w:noProof/>
      </w:rPr>
      <w:t>3</w:t>
    </w:r>
    <w:r>
      <w:rPr>
        <w:rStyle w:val="a5"/>
      </w:rPr>
      <w:fldChar w:fldCharType="end"/>
    </w:r>
  </w:p>
  <w:p w:rsidR="00396E79" w:rsidRDefault="00396E79">
    <w:pPr>
      <w:pStyle w:val="a3"/>
    </w:pPr>
  </w:p>
  <w:p w:rsidR="00396E79" w:rsidRDefault="00396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B1"/>
    <w:rsid w:val="0013494E"/>
    <w:rsid w:val="001819D1"/>
    <w:rsid w:val="00396E79"/>
    <w:rsid w:val="005362B1"/>
    <w:rsid w:val="006C6877"/>
    <w:rsid w:val="00782518"/>
    <w:rsid w:val="009662EE"/>
    <w:rsid w:val="009864A6"/>
    <w:rsid w:val="00BC0F07"/>
    <w:rsid w:val="00E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6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62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362B1"/>
  </w:style>
  <w:style w:type="paragraph" w:styleId="a6">
    <w:name w:val="Balloon Text"/>
    <w:basedOn w:val="a"/>
    <w:link w:val="a7"/>
    <w:uiPriority w:val="99"/>
    <w:semiHidden/>
    <w:unhideWhenUsed/>
    <w:rsid w:val="00396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6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62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362B1"/>
  </w:style>
  <w:style w:type="paragraph" w:styleId="a6">
    <w:name w:val="Balloon Text"/>
    <w:basedOn w:val="a"/>
    <w:link w:val="a7"/>
    <w:uiPriority w:val="99"/>
    <w:semiHidden/>
    <w:unhideWhenUsed/>
    <w:rsid w:val="00396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076F-E06D-4B18-8BC7-F1E1F215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4436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2018-01-03T08:22:00Z</cp:lastPrinted>
  <dcterms:created xsi:type="dcterms:W3CDTF">2017-12-04T11:54:00Z</dcterms:created>
  <dcterms:modified xsi:type="dcterms:W3CDTF">2018-01-03T08:24:00Z</dcterms:modified>
</cp:coreProperties>
</file>