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2" w:rsidRDefault="00E87B99" w:rsidP="005B5302">
      <w:pPr>
        <w:pStyle w:val="a9"/>
        <w:spacing w:before="0" w:after="0"/>
        <w:rPr>
          <w:rFonts w:ascii="Times New Roman" w:hAnsi="Times New Roman"/>
          <w:color w:val="2A2928"/>
          <w:sz w:val="28"/>
          <w:szCs w:val="28"/>
        </w:rPr>
      </w:pPr>
      <w:bookmarkStart w:id="0" w:name="_GoBack"/>
      <w:r w:rsidRPr="00A03FC5">
        <w:rPr>
          <w:rFonts w:ascii="Times New Roman" w:hAnsi="Times New Roman"/>
          <w:color w:val="2A2928"/>
          <w:sz w:val="28"/>
          <w:szCs w:val="28"/>
        </w:rPr>
        <w:t>ПОЯСНЮВАЛЬНА ЗАПИСКА</w:t>
      </w:r>
      <w:bookmarkEnd w:id="0"/>
      <w:r w:rsidRPr="00A03FC5">
        <w:rPr>
          <w:rFonts w:ascii="Times New Roman" w:hAnsi="Times New Roman"/>
          <w:color w:val="2A2928"/>
          <w:sz w:val="28"/>
          <w:szCs w:val="28"/>
        </w:rPr>
        <w:br/>
        <w:t xml:space="preserve">до проекту постанови Кабінету Міністрів України </w:t>
      </w:r>
    </w:p>
    <w:p w:rsidR="005B5302" w:rsidRPr="00C74FB2" w:rsidRDefault="00A03FC5" w:rsidP="005B5302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9A798F">
        <w:rPr>
          <w:rFonts w:ascii="Times New Roman" w:hAnsi="Times New Roman"/>
          <w:color w:val="2A2928"/>
          <w:sz w:val="28"/>
          <w:szCs w:val="28"/>
        </w:rPr>
        <w:t>«</w:t>
      </w:r>
      <w:r w:rsidR="005B5302" w:rsidRPr="00C74FB2">
        <w:rPr>
          <w:rFonts w:ascii="Times New Roman" w:hAnsi="Times New Roman"/>
          <w:color w:val="000000"/>
          <w:sz w:val="28"/>
          <w:szCs w:val="28"/>
        </w:rPr>
        <w:t xml:space="preserve">Про внесення змін до </w:t>
      </w:r>
      <w:r w:rsidR="005B5302" w:rsidRPr="00C74FB2">
        <w:rPr>
          <w:rFonts w:ascii="Times New Roman" w:hAnsi="Times New Roman"/>
          <w:sz w:val="28"/>
          <w:szCs w:val="28"/>
        </w:rPr>
        <w:t xml:space="preserve">постанов Кабінету Міністрів України </w:t>
      </w:r>
    </w:p>
    <w:p w:rsidR="00E87B99" w:rsidRPr="005B5302" w:rsidRDefault="005B5302" w:rsidP="005B5302">
      <w:pPr>
        <w:pStyle w:val="a9"/>
        <w:spacing w:before="0" w:after="0"/>
        <w:rPr>
          <w:rFonts w:ascii="Times New Roman" w:hAnsi="Times New Roman"/>
          <w:color w:val="2A2928"/>
          <w:sz w:val="28"/>
          <w:szCs w:val="28"/>
        </w:rPr>
      </w:pPr>
      <w:r w:rsidRPr="005B5302">
        <w:rPr>
          <w:rFonts w:ascii="Times New Roman" w:hAnsi="Times New Roman"/>
          <w:sz w:val="28"/>
          <w:szCs w:val="28"/>
        </w:rPr>
        <w:t>від 7 липня 2010 року № 565 і від 16 грудня 2015 року № 1122</w:t>
      </w:r>
      <w:r w:rsidR="009A798F" w:rsidRPr="005B5302">
        <w:rPr>
          <w:rFonts w:ascii="Times New Roman" w:hAnsi="Times New Roman"/>
          <w:color w:val="000000"/>
          <w:sz w:val="28"/>
          <w:szCs w:val="28"/>
        </w:rPr>
        <w:t>»</w:t>
      </w:r>
    </w:p>
    <w:p w:rsidR="00A03FC5" w:rsidRPr="00A03FC5" w:rsidRDefault="00A03FC5" w:rsidP="00AE1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E87B99" w:rsidRPr="00A03FC5" w:rsidRDefault="00E87B99" w:rsidP="00A03FC5">
      <w:pPr>
        <w:shd w:val="clear" w:color="auto" w:fill="FFFFFF"/>
        <w:spacing w:after="0" w:line="435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A03F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</w:p>
    <w:p w:rsidR="006F1FA3" w:rsidRDefault="009802A7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з набранням чинності </w:t>
      </w:r>
      <w:r w:rsidRPr="00AE1B3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E1B37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AE1B37">
        <w:rPr>
          <w:rFonts w:ascii="Times New Roman" w:hAnsi="Times New Roman" w:cs="Times New Roman"/>
          <w:sz w:val="28"/>
          <w:szCs w:val="28"/>
          <w:lang w:val="uk-UA"/>
        </w:rPr>
        <w:t xml:space="preserve">3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E1B37">
        <w:rPr>
          <w:rFonts w:ascii="Times New Roman" w:hAnsi="Times New Roman" w:cs="Times New Roman"/>
          <w:sz w:val="28"/>
          <w:szCs w:val="28"/>
          <w:lang w:val="uk-UA"/>
        </w:rPr>
        <w:t>2016 року № 1726-</w:t>
      </w:r>
      <w:r w:rsidRPr="00AE1B37">
        <w:rPr>
          <w:rFonts w:ascii="Times New Roman" w:hAnsi="Times New Roman" w:cs="Times New Roman"/>
          <w:sz w:val="28"/>
          <w:szCs w:val="28"/>
        </w:rPr>
        <w:t>VIII</w:t>
      </w:r>
      <w:r w:rsidRPr="00AE1B37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Закону України «Про основні засади державного нагляду (контролю) у сфері господарської діяльності» щодо лібералізації системи державного нагляду (контролю)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E44">
        <w:rPr>
          <w:rFonts w:ascii="Times New Roman" w:hAnsi="Times New Roman" w:cs="Times New Roman"/>
          <w:sz w:val="28"/>
          <w:szCs w:val="28"/>
          <w:lang w:val="uk-UA"/>
        </w:rPr>
        <w:t>виникла необхідність перегляду критеріїв,</w:t>
      </w:r>
      <w:r w:rsidRPr="00236E44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якими оцінюється ступінь ризику від провадження </w:t>
      </w:r>
      <w:r w:rsidR="006F1FA3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господарської </w:t>
      </w:r>
      <w:r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7959D7"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частині </w:t>
      </w:r>
      <w:r w:rsidR="006F1FA3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зменшення кількості та частоти </w:t>
      </w:r>
      <w:r w:rsidR="006F1FA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6F1FA3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еревірок</w:t>
      </w:r>
      <w:r w:rsidR="006F1F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802A7" w:rsidRDefault="006F1FA3" w:rsidP="00A03FC5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того,</w:t>
      </w:r>
      <w:r w:rsidR="00821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31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попередній аналіз кількісних та якісних показників господарської діяльності суб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D63169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єктів господарювання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вказує на </w:t>
      </w:r>
      <w:r w:rsidR="006231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необхідність </w:t>
      </w:r>
      <w:r w:rsidR="001334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перегляду</w:t>
      </w:r>
      <w:r w:rsidR="00821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критеріїв, за якими оцінюються ступені ризику від провадження господарської  діяльності суб’єктів господарювання,</w:t>
      </w:r>
      <w:r w:rsidR="00821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віднесених до високого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821FD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середнього ступенів ризику,</w:t>
      </w:r>
      <w:r w:rsidR="001334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приведення їх кількості до 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</w:t>
      </w:r>
      <w:r w:rsidR="0013342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334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передбачених 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відповідною м</w:t>
      </w:r>
      <w:r w:rsidR="00821FD8" w:rsidRPr="00821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етодик</w:t>
      </w:r>
      <w:r w:rsidR="005B5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3D42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розроблення</w:t>
      </w:r>
      <w:r w:rsidR="009802A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798F" w:rsidRPr="00A03FC5" w:rsidRDefault="009A798F" w:rsidP="009A7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9A798F" w:rsidRDefault="00E87B99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A7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 Мета і шляхи її досягнення</w:t>
      </w:r>
    </w:p>
    <w:p w:rsidR="007959D7" w:rsidRPr="007959D7" w:rsidRDefault="00E87B99" w:rsidP="009A7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Основним завданням проекту </w:t>
      </w:r>
      <w:r w:rsidR="0023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 забезпечення М</w:t>
      </w:r>
      <w:r w:rsidR="00F4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 органу державного нагляду (контролю) за </w:t>
      </w:r>
      <w:r w:rsidR="00F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дотриманням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вимог </w:t>
      </w:r>
      <w:r w:rsidR="00F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іцензійних умов</w:t>
      </w:r>
      <w:r w:rsidR="00F4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провадження </w:t>
      </w:r>
      <w:r w:rsidR="00F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певних видів господарської діяльності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єдиного підходу до оцінки ступен</w:t>
      </w:r>
      <w:r w:rsidR="00AA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ризику від </w:t>
      </w:r>
      <w:r w:rsidR="00AA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провадження господарської </w:t>
      </w:r>
      <w:r w:rsidR="00F4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діяльності, 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зменшення кількості та частоти 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еревірок, з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меншення 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ількості 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єктів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5B8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господарювання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</w:t>
      </w:r>
      <w:r w:rsidR="007959D7" w:rsidRPr="00236E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належать до 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високого</w:t>
      </w:r>
      <w:r w:rsidR="007959D7" w:rsidRPr="00236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середнього ступенів ризику</w:t>
      </w:r>
      <w:r w:rsid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959D7" w:rsidRP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що, у свою чергу, </w:t>
      </w:r>
      <w:r w:rsidR="007959D7" w:rsidRPr="007959D7">
        <w:rPr>
          <w:rFonts w:ascii="Times New Roman" w:hAnsi="Times New Roman" w:cs="Times New Roman"/>
          <w:sz w:val="28"/>
          <w:szCs w:val="28"/>
          <w:lang w:val="uk-UA"/>
        </w:rPr>
        <w:t>зменшить тиск з боку</w:t>
      </w:r>
      <w:r w:rsidR="00795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9D7" w:rsidRPr="007959D7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контролюючого органу на представників малого та середнього бізнесу в </w:t>
      </w:r>
      <w:r w:rsidR="00AA5B8F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вище </w:t>
      </w:r>
      <w:r w:rsidR="007959D7" w:rsidRPr="007959D7">
        <w:rPr>
          <w:rFonts w:ascii="Times New Roman" w:hAnsi="Times New Roman" w:cs="Times New Roman"/>
          <w:sz w:val="28"/>
          <w:szCs w:val="28"/>
          <w:lang w:val="uk-UA"/>
        </w:rPr>
        <w:t>сфер</w:t>
      </w:r>
      <w:r w:rsidR="00AA5B8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959D7" w:rsidRPr="007959D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7959D7" w:rsidRPr="007959D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7B99" w:rsidRPr="007959D7" w:rsidRDefault="007959D7" w:rsidP="009A7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9D7">
        <w:rPr>
          <w:rFonts w:ascii="Times New Roman" w:hAnsi="Times New Roman" w:cs="Times New Roman"/>
          <w:sz w:val="28"/>
          <w:szCs w:val="28"/>
          <w:lang w:val="uk-UA"/>
        </w:rPr>
        <w:t>Досягти поставленої мети пропонується шляхом прийняття вказаного проекту постанови</w:t>
      </w:r>
      <w:r w:rsidR="00E87B99" w:rsidRPr="00795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A798F" w:rsidRDefault="009A798F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Default="00E87B99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A7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 Правові аспекти</w:t>
      </w:r>
    </w:p>
    <w:p w:rsidR="001D0BE8" w:rsidRPr="001D0BE8" w:rsidRDefault="001D0BE8" w:rsidP="009A798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D0BE8">
        <w:rPr>
          <w:rFonts w:ascii="Times New Roman" w:hAnsi="Times New Roman" w:cs="Times New Roman"/>
          <w:bCs/>
          <w:sz w:val="28"/>
          <w:szCs w:val="28"/>
          <w:lang w:val="uk-UA"/>
        </w:rPr>
        <w:t>У цій сфері правового регулювання діють:</w:t>
      </w:r>
    </w:p>
    <w:p w:rsidR="00E87B99" w:rsidRPr="00A03FC5" w:rsidRDefault="006E7520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6" w:tgtFrame="_top" w:history="1">
        <w:r w:rsidR="00E87B99" w:rsidRPr="00A46B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Закон України </w:t>
        </w:r>
      </w:hyperlink>
      <w:hyperlink r:id="rId7" w:tgtFrame="_top" w:history="1">
        <w:r w:rsidR="00F4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«</w:t>
        </w:r>
        <w:r w:rsidR="00E87B99" w:rsidRPr="00A03F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Про основні засади державного нагляду (контролю) у сфері господарської діяльності</w:t>
        </w:r>
      </w:hyperlink>
      <w:r w:rsidR="00F4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87B99"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87B99" w:rsidRPr="00A03FC5" w:rsidRDefault="006E7520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tgtFrame="_top" w:history="1">
        <w:r w:rsidR="00AD4B31" w:rsidRPr="002375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постанов</w:t>
        </w:r>
        <w:r w:rsidR="0023752C" w:rsidRPr="002375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</w:t>
        </w:r>
        <w:r w:rsidR="00E87B99" w:rsidRPr="002375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Кабінету Міністрів України </w:t>
        </w:r>
      </w:hyperlink>
      <w:hyperlink r:id="rId9" w:tgtFrame="_top" w:history="1">
        <w:r w:rsidR="00AD4B31" w:rsidRPr="00A03F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від 28 серпня 2013 року </w:t>
        </w:r>
        <w:r w:rsidR="00AD4B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№ 752 «</w:t>
        </w:r>
        <w:r w:rsidR="00AD4B31" w:rsidRPr="00A03F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Про затвердження </w:t>
        </w:r>
        <w:proofErr w:type="spellStart"/>
        <w:r w:rsidR="00AD4B31" w:rsidRPr="00A03F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методик</w:t>
        </w:r>
        <w:proofErr w:type="spellEnd"/>
        <w:r w:rsidR="00AD4B31" w:rsidRPr="00A03F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</w:t>
        </w:r>
      </w:hyperlink>
      <w:r w:rsidR="00AD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E135D9" w:rsidRDefault="00E135D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23752C" w:rsidRDefault="0023752C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87B99" w:rsidRPr="00A03FC5" w:rsidRDefault="009873E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 xml:space="preserve">4. </w:t>
      </w:r>
      <w:r w:rsidR="00E87B99" w:rsidRPr="00A03F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Фінансово-економічне обґрунтування</w:t>
      </w:r>
    </w:p>
    <w:p w:rsidR="00E87B99" w:rsidRDefault="00E87B99" w:rsidP="005E4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Реалізація проекту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потребує додаткових матеріальних та фінансових витрат із державного бюджету.</w:t>
      </w:r>
    </w:p>
    <w:p w:rsidR="005E4235" w:rsidRPr="00A03FC5" w:rsidRDefault="005E4235" w:rsidP="005E4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9A798F" w:rsidRDefault="009873E9" w:rsidP="005E423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  <w:r w:rsidR="00E87B99" w:rsidRPr="009A79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Позиція заінтересованих органів</w:t>
      </w:r>
    </w:p>
    <w:p w:rsidR="00E87B99" w:rsidRPr="00A03FC5" w:rsidRDefault="00E87B99" w:rsidP="005E4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потребує погодження з Міністерством фінансів України, Міністерством економічного розвитку і торгівлі України, Державною регуляторною службою</w:t>
      </w:r>
      <w:r w:rsidR="005E4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5E4235" w:rsidRPr="00236E44">
        <w:rPr>
          <w:rFonts w:ascii="Times New Roman" w:hAnsi="Times New Roman"/>
          <w:sz w:val="28"/>
          <w:szCs w:val="28"/>
          <w:lang w:val="uk-UA"/>
        </w:rPr>
        <w:t xml:space="preserve">а також проведення правової експертизи </w:t>
      </w:r>
      <w:r w:rsidR="005E4235" w:rsidRPr="00236E44">
        <w:rPr>
          <w:rFonts w:ascii="Times New Roman" w:hAnsi="Times New Roman"/>
          <w:spacing w:val="1"/>
          <w:sz w:val="28"/>
          <w:szCs w:val="28"/>
          <w:lang w:val="uk-UA"/>
        </w:rPr>
        <w:t>Міністерством юстиції України.</w:t>
      </w:r>
    </w:p>
    <w:p w:rsidR="009873E9" w:rsidRDefault="009873E9" w:rsidP="009873E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Pr="009873E9" w:rsidRDefault="00E87B99" w:rsidP="009873E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6. Регіональний аспект</w:t>
      </w:r>
    </w:p>
    <w:p w:rsidR="00E87B99" w:rsidRDefault="00E87B9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стосується питання розвитку адміністративно-територіальних одиниць.</w:t>
      </w:r>
    </w:p>
    <w:p w:rsidR="009873E9" w:rsidRPr="00A03FC5" w:rsidRDefault="009873E9" w:rsidP="00A0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9873E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1</w:t>
      </w: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Запобігання дискримінації</w:t>
      </w:r>
    </w:p>
    <w:p w:rsidR="00E87B9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проекті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відсутні положення, які містять ознаки дискримінації. Громадська </w:t>
      </w:r>
      <w:proofErr w:type="spellStart"/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антидискримінаційна</w:t>
      </w:r>
      <w:proofErr w:type="spellEnd"/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експертиза не проводилася.</w:t>
      </w:r>
    </w:p>
    <w:p w:rsidR="009873E9" w:rsidRPr="00A03FC5" w:rsidRDefault="009873E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9873E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7. Запобігання корупції</w:t>
      </w:r>
    </w:p>
    <w:p w:rsidR="00E87B9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цьому проекті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відсутні правила і процедури, які можуть містити ризики вчинення корупційних правопорушень.</w:t>
      </w:r>
    </w:p>
    <w:p w:rsidR="009873E9" w:rsidRPr="00A03FC5" w:rsidRDefault="009873E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9873E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8. Громадське обговорення</w:t>
      </w:r>
    </w:p>
    <w:p w:rsidR="00E87B99" w:rsidRPr="00A03FC5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забезпечення громадського обговорення проект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розміщено на офіційному </w:t>
      </w:r>
      <w:r w:rsidR="00AE1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веб-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сайті </w:t>
      </w:r>
      <w:r w:rsidR="00CC5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іністерства</w:t>
      </w:r>
      <w:r w:rsidR="00A60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внутрішніх справ</w:t>
      </w:r>
      <w:r w:rsidR="00AE1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873E9" w:rsidRDefault="009873E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9873E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7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9. Позиція соціальних партнерів</w:t>
      </w:r>
    </w:p>
    <w:p w:rsidR="00E87B99" w:rsidRDefault="00E87B99" w:rsidP="00987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стосується соціально-трудової сфери.</w:t>
      </w:r>
    </w:p>
    <w:p w:rsidR="00F4696C" w:rsidRPr="00A03FC5" w:rsidRDefault="00F4696C" w:rsidP="00F4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Default="00E87B9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10. Оцінка регуляторного впливу</w:t>
      </w:r>
    </w:p>
    <w:p w:rsidR="00A46B8F" w:rsidRDefault="00107DE6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4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</w:t>
      </w:r>
      <w:r w:rsidR="00A46B8F" w:rsidRPr="00A4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постанови є регуляторним актом.</w:t>
      </w:r>
    </w:p>
    <w:p w:rsidR="00107DE6" w:rsidRPr="00A46B8F" w:rsidRDefault="00107DE6" w:rsidP="00A46B8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val="uk-UA" w:eastAsia="ru-RU"/>
        </w:rPr>
      </w:pP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2595"/>
        <w:gridCol w:w="4793"/>
      </w:tblGrid>
      <w:tr w:rsidR="00A03FC5" w:rsidRPr="00A03FC5" w:rsidTr="00631190">
        <w:trPr>
          <w:tblCellSpacing w:w="18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A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Суб</w:t>
            </w:r>
            <w:r w:rsidR="00F469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’</w:t>
            </w: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єкти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A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A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</w:tr>
      <w:tr w:rsidR="00A03FC5" w:rsidRPr="00A03FC5" w:rsidTr="00631190">
        <w:trPr>
          <w:tblCellSpacing w:w="18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A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Держава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67B69" w:rsidRDefault="00A67B69" w:rsidP="00A6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67B69">
              <w:rPr>
                <w:rFonts w:ascii="Times New Roman" w:hAnsi="Times New Roman"/>
                <w:sz w:val="28"/>
                <w:szCs w:val="28"/>
                <w:lang w:val="uk-UA"/>
              </w:rPr>
              <w:t>Так, на відрядження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1E05C1" w:rsidRDefault="00E87B99" w:rsidP="00CE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E05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Удосконалення системи державного нагляду (контролю), забезпечення єдиного підходу до оцінки ступен</w:t>
            </w:r>
            <w:r w:rsidR="00CE4A17" w:rsidRPr="001E05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  <w:r w:rsidRPr="001E05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ризику від провадження господарської діяльності</w:t>
            </w:r>
            <w:r w:rsidR="00CA43C2" w:rsidRPr="001E05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 З</w:t>
            </w:r>
            <w:r w:rsidR="00CA43C2" w:rsidRPr="001E0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меншення тиску з боку контролюючого органу на представників малого та середнього бізнесу</w:t>
            </w:r>
          </w:p>
        </w:tc>
      </w:tr>
      <w:tr w:rsidR="00A03FC5" w:rsidRPr="00A03FC5" w:rsidTr="00631190">
        <w:trPr>
          <w:tblCellSpacing w:w="18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C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Суб</w:t>
            </w:r>
            <w:r w:rsidR="00CC5F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’</w:t>
            </w: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єкти господарювання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C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 передбачаються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E4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Підвищення рівня визначеності у сфері державного (нагляду) контролю.</w:t>
            </w: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="00CA43C2" w:rsidRPr="00CA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Зменшен</w:t>
            </w:r>
            <w:r w:rsidR="00CA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</w:t>
            </w:r>
            <w:r w:rsidR="00CA43C2" w:rsidRPr="00CA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кількості та частоти </w:t>
            </w:r>
            <w:r w:rsidR="00CE4A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="00CA43C2" w:rsidRPr="00CA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перевірок</w:t>
            </w:r>
          </w:p>
        </w:tc>
      </w:tr>
      <w:tr w:rsidR="00A03FC5" w:rsidRPr="005B5302" w:rsidTr="00631190">
        <w:trPr>
          <w:tblCellSpacing w:w="18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C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Населення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E87B99" w:rsidP="00CC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 передбачаються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B99" w:rsidRPr="00A03FC5" w:rsidRDefault="00CE4A17" w:rsidP="00FD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E87B99" w:rsidRPr="00A03F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апобігання настанню негативних наслідків від провадження господарської діяльності</w:t>
            </w:r>
          </w:p>
        </w:tc>
      </w:tr>
    </w:tbl>
    <w:p w:rsidR="00C14DF9" w:rsidRDefault="00C14DF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87B99" w:rsidRPr="00F4696C" w:rsidRDefault="00E87B9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10</w:t>
      </w:r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1</w:t>
      </w:r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 Вплив реалізації </w:t>
      </w:r>
      <w:proofErr w:type="spellStart"/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на ринок праці</w:t>
      </w:r>
    </w:p>
    <w:p w:rsidR="00E87B99" w:rsidRPr="00A03FC5" w:rsidRDefault="00E87B99" w:rsidP="00F4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Реалізація проекту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постанови 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впливає на ринок праці.</w:t>
      </w:r>
    </w:p>
    <w:p w:rsidR="00F4696C" w:rsidRDefault="00F4696C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F4696C" w:rsidRDefault="00E87B99" w:rsidP="00F469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46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11. Прогноз результатів</w:t>
      </w:r>
    </w:p>
    <w:p w:rsidR="00E87B99" w:rsidRPr="00A03FC5" w:rsidRDefault="00E87B99" w:rsidP="00F4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Прийняття проекту </w:t>
      </w:r>
      <w:r w:rsidR="001E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постанови </w:t>
      </w:r>
      <w:r w:rsidR="0083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забезпечить </w:t>
      </w:r>
      <w:r w:rsidR="008336C8" w:rsidRPr="007959D7">
        <w:rPr>
          <w:rFonts w:ascii="Times New Roman" w:hAnsi="Times New Roman" w:cs="Times New Roman"/>
          <w:sz w:val="28"/>
          <w:szCs w:val="28"/>
          <w:lang w:val="uk-UA"/>
        </w:rPr>
        <w:t>зменш</w:t>
      </w:r>
      <w:r w:rsidR="008336C8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336C8" w:rsidRPr="007959D7">
        <w:rPr>
          <w:rFonts w:ascii="Times New Roman" w:hAnsi="Times New Roman" w:cs="Times New Roman"/>
          <w:sz w:val="28"/>
          <w:szCs w:val="28"/>
          <w:lang w:val="uk-UA"/>
        </w:rPr>
        <w:t xml:space="preserve"> тиск</w:t>
      </w:r>
      <w:r w:rsidR="008336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36C8" w:rsidRPr="007959D7">
        <w:rPr>
          <w:rFonts w:ascii="Times New Roman" w:hAnsi="Times New Roman" w:cs="Times New Roman"/>
          <w:sz w:val="28"/>
          <w:szCs w:val="28"/>
          <w:lang w:val="uk-UA"/>
        </w:rPr>
        <w:t xml:space="preserve"> з боку</w:t>
      </w:r>
      <w:r w:rsidR="00833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6C8" w:rsidRPr="007959D7">
        <w:rPr>
          <w:rFonts w:ascii="Times New Roman" w:hAnsi="Times New Roman" w:cs="Times New Roman"/>
          <w:sz w:val="28"/>
          <w:szCs w:val="28"/>
          <w:lang w:val="uk-UA"/>
        </w:rPr>
        <w:t>контролюючого органу на представників малого та середнього бізнесу</w:t>
      </w:r>
      <w:r w:rsidR="008336C8">
        <w:rPr>
          <w:rFonts w:ascii="Times New Roman" w:hAnsi="Times New Roman" w:cs="Times New Roman"/>
          <w:sz w:val="28"/>
          <w:szCs w:val="28"/>
          <w:lang w:val="uk-UA"/>
        </w:rPr>
        <w:t xml:space="preserve"> шляхом з</w:t>
      </w:r>
      <w:r w:rsidR="008336C8" w:rsidRPr="00CA43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меншен</w:t>
      </w:r>
      <w:r w:rsidR="00833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="008336C8" w:rsidRPr="00CA43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кількості та частоти </w:t>
      </w:r>
      <w:r w:rsidR="00833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8336C8" w:rsidRPr="00CA43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перевірок</w:t>
      </w:r>
      <w:r w:rsidR="00833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суб’єктів господарювання</w:t>
      </w:r>
      <w:r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87B99" w:rsidRDefault="007445BF" w:rsidP="00F46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Ураховуючи </w:t>
      </w:r>
      <w:r w:rsidR="00E87B99"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7B99"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кільк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ість</w:t>
      </w:r>
      <w:r w:rsidR="00E87B99"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ліцензіатів у сфері провадження</w:t>
      </w:r>
      <w:r w:rsid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охоронної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E87B99" w:rsidRPr="00A03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станом на час розробки зазначеного </w:t>
      </w:r>
      <w:proofErr w:type="spellStart"/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5850 суб’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єктів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охоронної діяльності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508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%) буде віднесено до високого ступеня ризику,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1712 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середнього, 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3630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(6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D782D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низького ступ</w:t>
      </w:r>
      <w:r w:rsidR="00ED5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енів </w:t>
      </w:r>
      <w:r w:rsidR="00E87B99"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ризику.</w:t>
      </w:r>
    </w:p>
    <w:p w:rsidR="00C87EE9" w:rsidRDefault="00C87EE9" w:rsidP="00C87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Ураховуючи загальну кількість ліцензіатів </w:t>
      </w:r>
      <w:r w:rsidRPr="00C87E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сфері надання послуг, пов’язаних з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виробництвом, ремонтом, торгівлею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87EE9">
          <w:rPr>
            <w:rFonts w:ascii="Times New Roman" w:hAnsi="Times New Roman" w:cs="Times New Roman"/>
            <w:sz w:val="28"/>
            <w:szCs w:val="28"/>
            <w:lang w:val="uk-UA"/>
          </w:rPr>
          <w:t>100 метрів</w:t>
        </w:r>
      </w:smartTag>
      <w:r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на секунду, </w:t>
      </w:r>
      <w:r w:rsidRPr="00C87EE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виробництвом спеціальних засобів, заряджених речовинами сльозоточивої та дратівної дії, індивідуального захисту, активної оборони та їх продаж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(320 суб’єктів господарювання) </w:t>
      </w:r>
      <w:r w:rsidR="009E7E6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23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455109" w:rsidRPr="00C87E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7,19 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%) буде віднесено до високого ступеня ризику, </w:t>
      </w:r>
      <w:r w:rsidR="009E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62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455109" w:rsidRPr="00C87EE9">
        <w:rPr>
          <w:rFonts w:ascii="Times New Roman" w:hAnsi="Times New Roman" w:cs="Times New Roman"/>
          <w:sz w:val="28"/>
          <w:szCs w:val="28"/>
          <w:lang w:val="uk-UA"/>
        </w:rPr>
        <w:t>19,37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середнього, </w:t>
      </w:r>
      <w:r w:rsidR="009E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235</w:t>
      </w:r>
      <w:r w:rsidR="00455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9E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455109" w:rsidRPr="00C87EE9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низького ступ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енів </w:t>
      </w:r>
      <w:r w:rsidRPr="000D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ризику.</w:t>
      </w:r>
    </w:p>
    <w:p w:rsidR="00455109" w:rsidRDefault="00455109" w:rsidP="00455109">
      <w:pPr>
        <w:tabs>
          <w:tab w:val="left" w:pos="8222"/>
        </w:tabs>
        <w:spacing w:after="0" w:line="240" w:lineRule="auto"/>
        <w:ind w:right="-187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5109" w:rsidRDefault="00455109" w:rsidP="00455109">
      <w:pPr>
        <w:tabs>
          <w:tab w:val="left" w:pos="8222"/>
        </w:tabs>
        <w:spacing w:after="0" w:line="240" w:lineRule="auto"/>
        <w:ind w:right="-187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5109" w:rsidRDefault="00455109" w:rsidP="00455109">
      <w:pPr>
        <w:tabs>
          <w:tab w:val="left" w:pos="8222"/>
        </w:tabs>
        <w:spacing w:after="0" w:line="240" w:lineRule="auto"/>
        <w:ind w:right="-1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03F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Міністр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внутрішніх справ </w:t>
      </w:r>
      <w:r w:rsidRPr="00A03F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    А.Б.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Аваков</w:t>
      </w:r>
      <w:proofErr w:type="spellEnd"/>
    </w:p>
    <w:p w:rsidR="00455109" w:rsidRDefault="00455109" w:rsidP="00455109">
      <w:pPr>
        <w:tabs>
          <w:tab w:val="left" w:pos="8222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5109" w:rsidRDefault="00455109" w:rsidP="00455109">
      <w:pPr>
        <w:tabs>
          <w:tab w:val="left" w:pos="8222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____.____.2017</w:t>
      </w:r>
    </w:p>
    <w:p w:rsidR="00455109" w:rsidRDefault="00455109" w:rsidP="00455109">
      <w:pPr>
        <w:tabs>
          <w:tab w:val="left" w:pos="8222"/>
        </w:tabs>
        <w:ind w:right="-185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5109" w:rsidRDefault="00455109" w:rsidP="004551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A03FC5" w:rsidRDefault="00E87B99" w:rsidP="00455109">
      <w:pPr>
        <w:tabs>
          <w:tab w:val="left" w:pos="8222"/>
        </w:tabs>
        <w:ind w:right="-185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25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455109" w:rsidRPr="00A03FC5" w:rsidTr="00455109">
        <w:trPr>
          <w:tblCellSpacing w:w="18" w:type="dxa"/>
        </w:trPr>
        <w:tc>
          <w:tcPr>
            <w:tcW w:w="492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109" w:rsidRDefault="00455109" w:rsidP="00BB4A9C">
            <w:pPr>
              <w:tabs>
                <w:tab w:val="left" w:pos="189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5109" w:rsidRPr="00BB4A9C" w:rsidRDefault="00455109" w:rsidP="00BB4A9C">
            <w:pPr>
              <w:tabs>
                <w:tab w:val="left" w:pos="189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18CA" w:rsidRPr="00A03FC5" w:rsidRDefault="001C18CA" w:rsidP="00F4696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C18CA" w:rsidRPr="00A03FC5" w:rsidSect="0023752C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20" w:rsidRDefault="006E7520" w:rsidP="009A798F">
      <w:pPr>
        <w:spacing w:after="0" w:line="240" w:lineRule="auto"/>
      </w:pPr>
      <w:r>
        <w:separator/>
      </w:r>
    </w:p>
  </w:endnote>
  <w:endnote w:type="continuationSeparator" w:id="0">
    <w:p w:rsidR="006E7520" w:rsidRDefault="006E7520" w:rsidP="009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20" w:rsidRDefault="006E7520" w:rsidP="009A798F">
      <w:pPr>
        <w:spacing w:after="0" w:line="240" w:lineRule="auto"/>
      </w:pPr>
      <w:r>
        <w:separator/>
      </w:r>
    </w:p>
  </w:footnote>
  <w:footnote w:type="continuationSeparator" w:id="0">
    <w:p w:rsidR="006E7520" w:rsidRDefault="006E7520" w:rsidP="009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6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73E9" w:rsidRPr="009873E9" w:rsidRDefault="009873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0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98F" w:rsidRDefault="009A7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9"/>
    <w:rsid w:val="00037FF1"/>
    <w:rsid w:val="000819F2"/>
    <w:rsid w:val="000D782D"/>
    <w:rsid w:val="00107DE6"/>
    <w:rsid w:val="00133428"/>
    <w:rsid w:val="0019043A"/>
    <w:rsid w:val="001C18CA"/>
    <w:rsid w:val="001D0BE8"/>
    <w:rsid w:val="001E05C1"/>
    <w:rsid w:val="00203BB1"/>
    <w:rsid w:val="0023752C"/>
    <w:rsid w:val="0033535A"/>
    <w:rsid w:val="003D4264"/>
    <w:rsid w:val="003E1834"/>
    <w:rsid w:val="003F361C"/>
    <w:rsid w:val="00455109"/>
    <w:rsid w:val="00470268"/>
    <w:rsid w:val="00532B8F"/>
    <w:rsid w:val="005A260A"/>
    <w:rsid w:val="005B5302"/>
    <w:rsid w:val="005B5C51"/>
    <w:rsid w:val="005E4235"/>
    <w:rsid w:val="00623114"/>
    <w:rsid w:val="006772DF"/>
    <w:rsid w:val="006D6D4B"/>
    <w:rsid w:val="006E7520"/>
    <w:rsid w:val="006F10ED"/>
    <w:rsid w:val="006F1FA3"/>
    <w:rsid w:val="007445BF"/>
    <w:rsid w:val="007959D7"/>
    <w:rsid w:val="00814C25"/>
    <w:rsid w:val="00821FD8"/>
    <w:rsid w:val="008336C8"/>
    <w:rsid w:val="00895B72"/>
    <w:rsid w:val="008A51D1"/>
    <w:rsid w:val="009802A7"/>
    <w:rsid w:val="009873E9"/>
    <w:rsid w:val="009A798F"/>
    <w:rsid w:val="009E7E64"/>
    <w:rsid w:val="00A03FC5"/>
    <w:rsid w:val="00A46B8F"/>
    <w:rsid w:val="00A60435"/>
    <w:rsid w:val="00A67B69"/>
    <w:rsid w:val="00A70757"/>
    <w:rsid w:val="00AA5B8F"/>
    <w:rsid w:val="00AB7137"/>
    <w:rsid w:val="00AD4B31"/>
    <w:rsid w:val="00AD736B"/>
    <w:rsid w:val="00AE1B37"/>
    <w:rsid w:val="00B07B29"/>
    <w:rsid w:val="00BB4A9C"/>
    <w:rsid w:val="00C14DF9"/>
    <w:rsid w:val="00C52572"/>
    <w:rsid w:val="00C87EE9"/>
    <w:rsid w:val="00CA43C2"/>
    <w:rsid w:val="00CC5F9D"/>
    <w:rsid w:val="00CE4A17"/>
    <w:rsid w:val="00D17331"/>
    <w:rsid w:val="00D63169"/>
    <w:rsid w:val="00D65363"/>
    <w:rsid w:val="00DA5DBF"/>
    <w:rsid w:val="00E135D9"/>
    <w:rsid w:val="00E263C9"/>
    <w:rsid w:val="00E5308B"/>
    <w:rsid w:val="00E85573"/>
    <w:rsid w:val="00E87B99"/>
    <w:rsid w:val="00ED59CB"/>
    <w:rsid w:val="00F23142"/>
    <w:rsid w:val="00F45466"/>
    <w:rsid w:val="00F4696C"/>
    <w:rsid w:val="00F844B1"/>
    <w:rsid w:val="00FC6374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918E-26E1-44FF-97D6-0F8A023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8F"/>
  </w:style>
  <w:style w:type="paragraph" w:styleId="a5">
    <w:name w:val="footer"/>
    <w:basedOn w:val="a"/>
    <w:link w:val="a6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8F"/>
  </w:style>
  <w:style w:type="character" w:customStyle="1" w:styleId="rvts9">
    <w:name w:val="rvts9"/>
    <w:basedOn w:val="a0"/>
    <w:rsid w:val="00AD4B31"/>
  </w:style>
  <w:style w:type="character" w:customStyle="1" w:styleId="rvts23">
    <w:name w:val="rvts23"/>
    <w:basedOn w:val="a0"/>
    <w:rsid w:val="00AD4B31"/>
  </w:style>
  <w:style w:type="paragraph" w:styleId="a7">
    <w:name w:val="Balloon Text"/>
    <w:basedOn w:val="a"/>
    <w:link w:val="a8"/>
    <w:uiPriority w:val="99"/>
    <w:semiHidden/>
    <w:unhideWhenUsed/>
    <w:rsid w:val="00E8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73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19043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44">
    <w:name w:val="rvts44"/>
    <w:basedOn w:val="a0"/>
    <w:rsid w:val="005B5302"/>
  </w:style>
  <w:style w:type="paragraph" w:styleId="HTML">
    <w:name w:val="HTML Preformatted"/>
    <w:basedOn w:val="a"/>
    <w:link w:val="HTML0"/>
    <w:rsid w:val="00C8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E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506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07087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5022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earch.ligazakon.ua/l_doc2.nsf/link1/KP1307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wgl</cp:lastModifiedBy>
  <cp:revision>2</cp:revision>
  <cp:lastPrinted>2017-02-09T15:32:00Z</cp:lastPrinted>
  <dcterms:created xsi:type="dcterms:W3CDTF">2017-02-24T14:44:00Z</dcterms:created>
  <dcterms:modified xsi:type="dcterms:W3CDTF">2017-02-24T14:44:00Z</dcterms:modified>
</cp:coreProperties>
</file>