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444E4A" w:rsidTr="00444E4A">
        <w:tc>
          <w:tcPr>
            <w:tcW w:w="4644" w:type="dxa"/>
          </w:tcPr>
          <w:p w:rsidR="00444E4A" w:rsidRPr="008902BB" w:rsidRDefault="00444E4A" w:rsidP="001437EF">
            <w:pPr>
              <w:ind w:right="4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210" w:type="dxa"/>
          </w:tcPr>
          <w:p w:rsidR="00444E4A" w:rsidRP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Додаток</w:t>
            </w:r>
          </w:p>
          <w:p w:rsid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розділу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аналізу регуляторного впливу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84D" w:rsidRDefault="0031184D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BA5" w:rsidRDefault="00625BA5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</w:t>
      </w:r>
    </w:p>
    <w:p w:rsidR="00F645F2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7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</w:t>
      </w: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підприємництва (М-Тест)</w:t>
      </w:r>
    </w:p>
    <w:p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7130" w:rsidRPr="009D7130" w:rsidTr="00A961A7">
        <w:trPr>
          <w:trHeight w:val="900"/>
        </w:trPr>
        <w:tc>
          <w:tcPr>
            <w:tcW w:w="9747" w:type="dxa"/>
            <w:shd w:val="clear" w:color="auto" w:fill="auto"/>
            <w:vAlign w:val="center"/>
            <w:hideMark/>
          </w:tcPr>
          <w:p w:rsidR="009D7130" w:rsidRPr="009D7130" w:rsidRDefault="005D6BE2" w:rsidP="005D6BE2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9D7130" w:rsidRPr="009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Консультації з представниками мікро- та малого підприємництва щодо оцінки впливу регулювання</w:t>
            </w:r>
          </w:p>
        </w:tc>
      </w:tr>
      <w:tr w:rsidR="009D7130" w:rsidRPr="009D7130" w:rsidTr="00A961A7">
        <w:trPr>
          <w:trHeight w:val="1395"/>
        </w:trPr>
        <w:tc>
          <w:tcPr>
            <w:tcW w:w="9747" w:type="dxa"/>
            <w:shd w:val="clear" w:color="auto" w:fill="auto"/>
            <w:vAlign w:val="center"/>
            <w:hideMark/>
          </w:tcPr>
          <w:p w:rsidR="004F510C" w:rsidRDefault="004F510C" w:rsidP="004F510C">
            <w:pPr>
              <w:pStyle w:val="af2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477C4">
              <w:rPr>
                <w:color w:val="000000" w:themeColor="text1"/>
                <w:sz w:val="28"/>
                <w:szCs w:val="28"/>
              </w:rPr>
              <w:t xml:space="preserve">З метою забезпечення громадського обговорення </w:t>
            </w:r>
            <w:proofErr w:type="spellStart"/>
            <w:r w:rsidRPr="009477C4">
              <w:rPr>
                <w:color w:val="000000" w:themeColor="text1"/>
                <w:sz w:val="28"/>
                <w:szCs w:val="28"/>
              </w:rPr>
              <w:t>про</w:t>
            </w:r>
            <w:r>
              <w:rPr>
                <w:color w:val="000000" w:themeColor="text1"/>
                <w:sz w:val="28"/>
                <w:szCs w:val="28"/>
              </w:rPr>
              <w:t>є</w:t>
            </w:r>
            <w:r w:rsidRPr="009477C4">
              <w:rPr>
                <w:color w:val="000000" w:themeColor="text1"/>
                <w:sz w:val="28"/>
                <w:szCs w:val="28"/>
              </w:rPr>
              <w:t>кт</w:t>
            </w:r>
            <w:proofErr w:type="spellEnd"/>
            <w:r w:rsidRPr="009477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акта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було </w:t>
            </w:r>
            <w:r w:rsidRPr="009477C4">
              <w:rPr>
                <w:color w:val="000000" w:themeColor="text1"/>
                <w:sz w:val="28"/>
                <w:szCs w:val="28"/>
              </w:rPr>
              <w:t xml:space="preserve">розміщено на офіційному </w:t>
            </w:r>
            <w:proofErr w:type="spellStart"/>
            <w:r w:rsidRPr="009477C4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9477C4">
              <w:rPr>
                <w:color w:val="000000" w:themeColor="text1"/>
                <w:sz w:val="28"/>
                <w:szCs w:val="28"/>
              </w:rPr>
              <w:t xml:space="preserve"> Міністерства внутрішніх справ України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D7130" w:rsidRPr="004F510C" w:rsidRDefault="004F510C" w:rsidP="004F510C">
            <w:pPr>
              <w:pStyle w:val="af2"/>
              <w:spacing w:after="0"/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F510C">
              <w:rPr>
                <w:color w:val="000000" w:themeColor="text1"/>
                <w:sz w:val="28"/>
                <w:szCs w:val="28"/>
              </w:rPr>
              <w:t xml:space="preserve">У період з </w:t>
            </w:r>
            <w:r w:rsidR="00806AC5" w:rsidRPr="004F510C">
              <w:rPr>
                <w:color w:val="000000"/>
                <w:sz w:val="28"/>
                <w:szCs w:val="28"/>
                <w:lang w:eastAsia="uk-UA"/>
              </w:rPr>
              <w:t>18 травня</w:t>
            </w:r>
            <w:r w:rsidRPr="004F510C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806AC5" w:rsidRPr="004F510C">
              <w:rPr>
                <w:color w:val="000000"/>
                <w:sz w:val="28"/>
                <w:szCs w:val="28"/>
                <w:lang w:eastAsia="uk-UA"/>
              </w:rPr>
              <w:t>2020 року по 18 червня 2020 року</w:t>
            </w:r>
            <w:r w:rsidRPr="004F510C">
              <w:rPr>
                <w:color w:val="000000"/>
                <w:sz w:val="28"/>
                <w:szCs w:val="28"/>
                <w:lang w:eastAsia="uk-UA"/>
              </w:rPr>
              <w:t xml:space="preserve"> п</w:t>
            </w:r>
            <w:r w:rsidR="00806AC5" w:rsidRPr="004F510C">
              <w:rPr>
                <w:sz w:val="28"/>
                <w:szCs w:val="28"/>
              </w:rPr>
              <w:t xml:space="preserve">ропозиції та зауваження від </w:t>
            </w:r>
            <w:proofErr w:type="spellStart"/>
            <w:r w:rsidR="00806AC5" w:rsidRPr="004F510C">
              <w:rPr>
                <w:sz w:val="28"/>
                <w:szCs w:val="28"/>
              </w:rPr>
              <w:t>субʼєктів</w:t>
            </w:r>
            <w:proofErr w:type="spellEnd"/>
            <w:r w:rsidR="00806AC5" w:rsidRPr="004F510C">
              <w:rPr>
                <w:sz w:val="28"/>
                <w:szCs w:val="28"/>
              </w:rPr>
              <w:t xml:space="preserve"> господарювання та громадськості не надходили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7130" w:rsidRPr="00625BA5" w:rsidRDefault="009D7130" w:rsidP="00F645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543B7" w:rsidRPr="00625BA5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C345F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8C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:rsidR="003714C8" w:rsidRPr="00D944CC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3714C8" w:rsidRDefault="003714C8" w:rsidP="00BB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</w:t>
      </w:r>
      <w:r w:rsidR="00D6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кількості суб’єктів господарювання, що мають ліцензії на провадження </w:t>
      </w:r>
      <w:r w:rsidR="003C0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господарської </w:t>
      </w:r>
      <w:r w:rsidR="00D6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r w:rsidR="003C0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r w:rsidR="003C09EF" w:rsidRPr="00B43593">
        <w:rPr>
          <w:rFonts w:ascii="Times New Roman" w:eastAsia="Times New Roman" w:hAnsi="Times New Roman"/>
          <w:sz w:val="28"/>
          <w:szCs w:val="28"/>
        </w:rPr>
        <w:t>виробництва</w:t>
      </w:r>
      <w:r w:rsidR="003C09EF">
        <w:rPr>
          <w:rFonts w:ascii="Times New Roman" w:eastAsia="Times New Roman" w:hAnsi="Times New Roman"/>
          <w:sz w:val="28"/>
          <w:szCs w:val="28"/>
        </w:rPr>
        <w:t xml:space="preserve">, </w:t>
      </w:r>
      <w:r w:rsidR="003C09EF" w:rsidRPr="00B43593">
        <w:rPr>
          <w:rFonts w:ascii="Times New Roman" w:eastAsia="Times New Roman" w:hAnsi="Times New Roman"/>
          <w:sz w:val="28"/>
          <w:szCs w:val="28"/>
        </w:rPr>
        <w:t>ремонту</w:t>
      </w:r>
      <w:r w:rsidR="003C09EF">
        <w:rPr>
          <w:rFonts w:ascii="Times New Roman" w:eastAsia="Times New Roman" w:hAnsi="Times New Roman"/>
          <w:sz w:val="28"/>
          <w:szCs w:val="28"/>
        </w:rPr>
        <w:t xml:space="preserve"> та</w:t>
      </w:r>
      <w:r w:rsidR="003C09EF" w:rsidRPr="00B43593">
        <w:rPr>
          <w:rFonts w:ascii="Times New Roman" w:eastAsia="Times New Roman" w:hAnsi="Times New Roman"/>
          <w:sz w:val="28"/>
          <w:szCs w:val="28"/>
        </w:rPr>
        <w:t xml:space="preserve">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48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8C345F" w:rsidRPr="0031184D" w:rsidRDefault="008C345F" w:rsidP="008C345F">
      <w:pPr>
        <w:pStyle w:val="aa"/>
        <w:tabs>
          <w:tab w:val="left" w:pos="9639"/>
        </w:tabs>
        <w:spacing w:after="0" w:line="240" w:lineRule="auto"/>
        <w:ind w:right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45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227"/>
        <w:gridCol w:w="1354"/>
        <w:gridCol w:w="1002"/>
        <w:gridCol w:w="1163"/>
        <w:gridCol w:w="1062"/>
      </w:tblGrid>
      <w:tr w:rsidR="00860404" w:rsidRPr="003A3F03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F339A0" w:rsidRPr="003A3F03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273E36" w:rsidRDefault="00F339A0" w:rsidP="00F33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F339A0" w:rsidRPr="003A3F03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273E36" w:rsidRDefault="00F339A0" w:rsidP="00F33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339A0"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25224D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A0" w:rsidRPr="008F6DF2" w:rsidRDefault="00F339A0" w:rsidP="00F3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D944CC" w:rsidRPr="00D944CC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B3262" w:rsidRDefault="00625BA5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підприємництва, на яких поширюється регулювання: </w:t>
      </w:r>
      <w:r w:rsidR="002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2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6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:rsidR="00CB3262" w:rsidRPr="00CB3262" w:rsidRDefault="00CB3262" w:rsidP="0062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205"/>
      <w:bookmarkEnd w:id="0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B27" w:rsidRPr="00C933D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7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1A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одатка 1 до Методики проведення ана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лізу впливу регуляторного </w:t>
      </w:r>
      <w:proofErr w:type="spellStart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C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C5B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510C" w:rsidRPr="00AA4941" w:rsidRDefault="004F510C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_GoBack"/>
      <w:bookmarkEnd w:id="1"/>
    </w:p>
    <w:p w:rsidR="008D217F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5D6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:rsidR="004F510C" w:rsidRDefault="004F510C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6BE2" w:rsidRPr="00CB3262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1986"/>
        <w:gridCol w:w="1559"/>
        <w:gridCol w:w="1701"/>
      </w:tblGrid>
      <w:tr w:rsidR="008D217F" w:rsidRPr="00340C63" w:rsidTr="007F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217F" w:rsidRPr="00340C63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9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340C63" w:rsidTr="0099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340C63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C09EF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lang w:val="uk-UA"/>
              </w:rPr>
            </w:pPr>
            <w:r w:rsidRPr="003C09EF">
              <w:rPr>
                <w:rStyle w:val="rvts11"/>
                <w:i/>
                <w:lang w:val="uk-UA"/>
              </w:rPr>
              <w:t xml:space="preserve">Формула:  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3C09EF">
              <w:rPr>
                <w:rStyle w:val="rvts11"/>
                <w:i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3C09EF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lang w:val="uk-UA"/>
              </w:rPr>
            </w:pPr>
            <w:r w:rsidRPr="003C09EF">
              <w:rPr>
                <w:rStyle w:val="rvts11"/>
                <w:i/>
                <w:lang w:val="uk-UA"/>
              </w:rPr>
              <w:t xml:space="preserve">Формула: 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3C09EF">
              <w:rPr>
                <w:rStyle w:val="rvts11"/>
                <w:i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3C09EF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lang w:val="uk-UA"/>
              </w:rPr>
            </w:pPr>
            <w:r w:rsidRPr="003C09EF">
              <w:rPr>
                <w:rStyle w:val="rvts11"/>
                <w:i/>
                <w:lang w:val="uk-UA"/>
              </w:rPr>
              <w:t>Формула: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3C09EF">
              <w:rPr>
                <w:rStyle w:val="rvts11"/>
                <w:i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3C09EF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  <w:lang w:val="uk-UA"/>
              </w:rPr>
            </w:pPr>
            <w:r w:rsidRPr="003C09EF">
              <w:rPr>
                <w:spacing w:val="-4"/>
                <w:lang w:val="uk-UA"/>
              </w:rPr>
              <w:t>Процедури обслуговування обладнання (технічне обслуговування)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lang w:val="uk-UA"/>
              </w:rPr>
            </w:pPr>
            <w:r w:rsidRPr="003C09EF">
              <w:rPr>
                <w:rStyle w:val="rvts11"/>
                <w:i/>
                <w:lang w:val="uk-UA"/>
              </w:rPr>
              <w:t xml:space="preserve">Формула: </w:t>
            </w:r>
          </w:p>
          <w:p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3C09EF">
              <w:rPr>
                <w:rStyle w:val="rvts11"/>
                <w:i/>
                <w:lang w:val="uk-UA"/>
              </w:rPr>
              <w:t xml:space="preserve"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</w:t>
            </w:r>
            <w:r w:rsidRPr="003C09EF">
              <w:rPr>
                <w:rStyle w:val="rvts11"/>
                <w:i/>
                <w:lang w:val="uk-UA"/>
              </w:rPr>
              <w:lastRenderedPageBreak/>
              <w:t>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3C09EF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3C09EF" w:rsidRDefault="003C09E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3C09EF" w:rsidRPr="00340C63" w:rsidTr="00856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  <w:p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uk-UA"/>
              </w:rPr>
              <w:t>Формула:</w:t>
            </w:r>
          </w:p>
          <w:p w:rsidR="003C09EF" w:rsidRPr="00E400C1" w:rsidRDefault="003C09EF" w:rsidP="00502CE7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uk-UA"/>
              </w:rPr>
              <w:t>(сума рядків 1 + 2 + 3 +4 + 5)</w:t>
            </w: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uk-UA"/>
              </w:rPr>
            </w:pPr>
            <w:r w:rsidRPr="00E400C1">
              <w:rPr>
                <w:rFonts w:eastAsia="Times New Roman"/>
                <w:b/>
                <w:lang w:val="uk-UA" w:eastAsia="uk-UA"/>
              </w:rPr>
              <w:t>Х</w:t>
            </w:r>
          </w:p>
          <w:p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C09EF" w:rsidRPr="00E400C1" w:rsidRDefault="003C09EF" w:rsidP="00502CE7">
            <w:pPr>
              <w:ind w:right="-1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811A7F" w:rsidRPr="00340C63" w:rsidTr="002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A7F" w:rsidRPr="00340C63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A7F" w:rsidRPr="00340C63" w:rsidRDefault="00811A7F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C79" w:rsidRPr="00340C63" w:rsidRDefault="00005C79" w:rsidP="0037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332</w:t>
            </w:r>
          </w:p>
          <w:p w:rsidR="00811A7F" w:rsidRPr="00340C63" w:rsidRDefault="00811A7F" w:rsidP="0037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val="ru-RU" w:eastAsia="uk-UA"/>
              </w:rPr>
            </w:pPr>
          </w:p>
          <w:p w:rsidR="003C09EF" w:rsidRPr="00E400C1" w:rsidRDefault="003C09EF" w:rsidP="00502CE7">
            <w:pPr>
              <w:spacing w:after="1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0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Формула:</w:t>
            </w:r>
          </w:p>
          <w:p w:rsidR="003C09EF" w:rsidRPr="00E400C1" w:rsidRDefault="003C09EF" w:rsidP="00502CE7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E400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відповідний стовпчик «разом»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EF" w:rsidRPr="00E400C1" w:rsidRDefault="003C09E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879DF" w:rsidRPr="00340C63" w:rsidTr="0099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340C63" w:rsidRDefault="002879DF" w:rsidP="00386F3F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879DF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Pr="00340C63" w:rsidRDefault="00DD6433" w:rsidP="00822AC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Pr="00340C63" w:rsidRDefault="002879DF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822AC5" w:rsidRPr="00625BA5" w:rsidRDefault="00822AC5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:rsidR="00822AC5" w:rsidRPr="00340C63" w:rsidRDefault="00822AC5" w:rsidP="008F6DF2">
            <w:pPr>
              <w:shd w:val="clear" w:color="auto" w:fill="FFFFFF"/>
              <w:spacing w:after="12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Формула:</w:t>
            </w:r>
          </w:p>
          <w:p w:rsidR="00822AC5" w:rsidRPr="00340C63" w:rsidRDefault="00822AC5" w:rsidP="008F6DF2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4075CC" w:rsidRDefault="00570ACD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822AC5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годин</w:t>
            </w:r>
            <w:r w:rsidR="00B06A09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</w:t>
            </w:r>
            <w:r w:rsidR="00822AC5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C75A98" w:rsidRPr="00340C63" w:rsidRDefault="00822AC5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(час, який</w:t>
            </w:r>
            <w:r w:rsidR="00917079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витрачається на пошук нормативно-правових актів в мережі Інтернет та ознайомлення з ними)</w:t>
            </w:r>
            <w:r w:rsidR="00C75A98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Х </w:t>
            </w:r>
          </w:p>
          <w:p w:rsidR="00C75A98" w:rsidRPr="00340C63" w:rsidRDefault="00C75A98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F10622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F10622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</w:t>
            </w: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  <w:r w:rsidR="00917079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= </w:t>
            </w:r>
          </w:p>
          <w:p w:rsidR="002879DF" w:rsidRPr="00340C63" w:rsidRDefault="00691BED" w:rsidP="004075CC">
            <w:pPr>
              <w:spacing w:after="120"/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56</w:t>
            </w:r>
            <w:r w:rsidR="00C75A98"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62</w:t>
            </w:r>
            <w:r w:rsidR="00C75A98"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  <w:r w:rsidR="00822AC5"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75A98" w:rsidRPr="00340C63" w:rsidRDefault="002879DF" w:rsidP="00C75A98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340C63">
              <w:rPr>
                <w:rFonts w:eastAsia="Times New Roman"/>
                <w:color w:val="000000" w:themeColor="text1"/>
                <w:lang w:eastAsia="uk-UA"/>
              </w:rPr>
              <w:t> </w:t>
            </w:r>
            <w:r w:rsidR="00C75A98" w:rsidRPr="00340C63">
              <w:rPr>
                <w:color w:val="000000" w:themeColor="text1"/>
                <w:lang w:val="uk-UA"/>
              </w:rPr>
              <w:t>0,00</w:t>
            </w:r>
          </w:p>
          <w:p w:rsidR="002879DF" w:rsidRPr="00340C63" w:rsidRDefault="00C75A98" w:rsidP="004F1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(припущено, що с</w:t>
            </w:r>
            <w:r w:rsidR="004F1094" w:rsidRPr="0034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 </w:t>
            </w:r>
            <w:r w:rsidRPr="0034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повинен виконувати вимоги регулювання лише в перший рік)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Pr="00340C63" w:rsidRDefault="00691BED" w:rsidP="00A04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56,62 грн</w:t>
            </w:r>
          </w:p>
        </w:tc>
      </w:tr>
      <w:tr w:rsidR="00005C79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340C63" w:rsidRDefault="00B06A09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DD6433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340C63" w:rsidRDefault="00A35F71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A35F71" w:rsidRPr="00625BA5" w:rsidRDefault="00A35F71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5F71" w:rsidRPr="00340C63" w:rsidRDefault="00A35F71" w:rsidP="008F6DF2">
            <w:pPr>
              <w:keepNext/>
              <w:widowControl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Формула:</w:t>
            </w:r>
          </w:p>
          <w:p w:rsidR="00A35F71" w:rsidRPr="00340C63" w:rsidRDefault="00A35F71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340C63" w:rsidRDefault="0055436D" w:rsidP="004075CC">
            <w:pPr>
              <w:keepNext/>
              <w:widowControl w:val="0"/>
              <w:ind w:left="-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C580C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B06A09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(час, необхідний </w:t>
            </w:r>
            <w:r w:rsidR="00B06A09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8484D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та впровадження внутрішніх процедур</w:t>
            </w:r>
            <w:r w:rsidR="005A4B74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2</w:t>
            </w:r>
            <w:r w:rsidR="00F21F4F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21F4F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  <w:r w:rsidR="00B06A09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  <w:r w:rsidR="00B06A09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4B74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(оформлення необхідних </w:t>
            </w:r>
            <w:r w:rsidR="00FF47DB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документів) </w:t>
            </w:r>
            <w:r w:rsidR="00A35F71"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        </w:t>
            </w:r>
            <w:r w:rsidR="00A35F71" w:rsidRPr="00340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56,62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5D6" w:rsidRPr="00340C63" w:rsidRDefault="001C45D6" w:rsidP="001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</w:t>
            </w:r>
          </w:p>
          <w:p w:rsidR="00A35F71" w:rsidRPr="00340C63" w:rsidRDefault="001C45D6" w:rsidP="001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(с/г повинен виконати вимоги регулювання лише в перший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340C63" w:rsidRDefault="00822E35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56,62 грн</w:t>
            </w:r>
          </w:p>
        </w:tc>
      </w:tr>
      <w:tr w:rsidR="00DD6433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A35F71">
            <w:pPr>
              <w:keepNext/>
              <w:widowControl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A35F71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Pr="00340C63" w:rsidRDefault="00DD6433" w:rsidP="009A2085">
            <w:pPr>
              <w:keepNext/>
              <w:widowControl w:val="0"/>
              <w:spacing w:after="12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DD6433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Pr="00340C63" w:rsidRDefault="00DD6433" w:rsidP="00DD6433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DD6433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Pr="00340C63" w:rsidRDefault="00DD6433" w:rsidP="00DD6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DD6433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625BA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Pr="00340C6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lang w:val="uk-UA"/>
              </w:rPr>
              <w:t>Процедури щодо забезпечення процесу перевірок</w:t>
            </w:r>
          </w:p>
          <w:p w:rsidR="00DD6433" w:rsidRPr="00625BA5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vertAlign w:val="subscript"/>
                <w:lang w:val="uk-UA"/>
              </w:rPr>
            </w:pPr>
          </w:p>
          <w:p w:rsidR="00DD6433" w:rsidRPr="00340C63" w:rsidRDefault="00DD6433" w:rsidP="00EB00B3">
            <w:pPr>
              <w:pStyle w:val="rvps14"/>
              <w:spacing w:before="0" w:beforeAutospacing="0" w:after="12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D6433" w:rsidRPr="00340C63" w:rsidRDefault="00DD6433" w:rsidP="00EB00B3">
            <w:pPr>
              <w:keepNext/>
              <w:widowControl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DD6433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(витрати 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DD6433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(витрати 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DD6433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(витрати 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відсутні)</w:t>
            </w:r>
          </w:p>
        </w:tc>
      </w:tr>
      <w:tr w:rsidR="007F087C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Pr="00340C63" w:rsidRDefault="007F08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Pr="00340C63" w:rsidRDefault="007F087C" w:rsidP="007F08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F087C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F087C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5" w:rsidRPr="00340C63" w:rsidRDefault="009A2085" w:rsidP="009A2085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F087C" w:rsidRPr="00340C63" w:rsidRDefault="009A2085" w:rsidP="009A2085">
            <w:pPr>
              <w:keepNext/>
              <w:widowControl w:val="0"/>
              <w:spacing w:after="12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A35F71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A35F71"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  <w:p w:rsidR="00625BA5" w:rsidRPr="00625BA5" w:rsidRDefault="00625BA5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15719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Формула:</w:t>
            </w:r>
          </w:p>
          <w:p w:rsidR="00A35F7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(сума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рядків </w:t>
            </w:r>
            <w:r w:rsidR="006127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9 +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10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11 + 12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13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26BF5" w:rsidRPr="00340C63" w:rsidRDefault="00393AB6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DB5906"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13,24 грн</w:t>
            </w:r>
          </w:p>
          <w:p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26BF5" w:rsidRPr="00340C63" w:rsidRDefault="00393AB6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DB5906"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13,24 грн </w:t>
            </w:r>
          </w:p>
          <w:p w:rsidR="00822E35" w:rsidRPr="00340C63" w:rsidRDefault="00822E3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5F71" w:rsidRPr="00340C63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EB00B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A35F71" w:rsidRPr="00340C63" w:rsidRDefault="001E04D9" w:rsidP="00A35F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332</w:t>
            </w:r>
          </w:p>
          <w:p w:rsidR="001E04D9" w:rsidRPr="00340C63" w:rsidRDefault="001E04D9" w:rsidP="00A35F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35F71" w:rsidRPr="00340C63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:rsidR="00DE200B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DE200B" w:rsidRPr="00340C63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E200B" w:rsidRPr="00340C63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340C63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502AD" w:rsidRPr="00340C63" w:rsidRDefault="003B23E8" w:rsidP="005A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3759</w:t>
            </w:r>
            <w:r w:rsidR="00DB5906"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5,68</w:t>
            </w:r>
            <w:r w:rsidR="001502AD"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A35F71" w:rsidRPr="00340C63" w:rsidRDefault="00A35F71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340C63" w:rsidRDefault="00A35F71" w:rsidP="00A3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C45D6" w:rsidRPr="00340C63" w:rsidRDefault="001C45D6" w:rsidP="001C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37595,68 грн</w:t>
            </w:r>
          </w:p>
          <w:p w:rsidR="00F26BF5" w:rsidRPr="00340C63" w:rsidRDefault="00F26BF5" w:rsidP="001A4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F26BF5" w:rsidRPr="00340C63" w:rsidRDefault="00F26BF5" w:rsidP="001A4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A35F71" w:rsidRPr="00340C63" w:rsidRDefault="00A35F71" w:rsidP="001A4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B2685" w:rsidRPr="00625BA5" w:rsidRDefault="001B268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</w:rPr>
      </w:pPr>
    </w:p>
    <w:p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0622">
        <w:rPr>
          <w:color w:val="000000"/>
          <w:sz w:val="28"/>
          <w:szCs w:val="28"/>
        </w:rPr>
        <w:t>Примітка:</w:t>
      </w:r>
      <w:r w:rsidRPr="003C7837">
        <w:rPr>
          <w:color w:val="000000"/>
          <w:sz w:val="28"/>
          <w:szCs w:val="28"/>
        </w:rPr>
        <w:t xml:space="preserve"> </w:t>
      </w:r>
    </w:p>
    <w:p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розрахунку вартості 1 часу роботи використано вартість 1 часу роботи, яка відповідно до Закону України «Про Державний бюджет України на                  2020 рік», з 1 січня 2020 року становить 28,31 гривні.</w:t>
      </w:r>
    </w:p>
    <w:p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Джерело отримання інформації:</w:t>
      </w:r>
    </w:p>
    <w:p w:rsidR="00ED35DC" w:rsidRPr="004760E1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4760E1">
        <w:rPr>
          <w:i/>
          <w:color w:val="000000"/>
          <w:sz w:val="28"/>
          <w:szCs w:val="28"/>
        </w:rPr>
        <w:t>https://zakon.rada.gov.ua/laws/show/294-20</w:t>
      </w:r>
      <w:r>
        <w:rPr>
          <w:i/>
          <w:color w:val="000000"/>
          <w:sz w:val="28"/>
          <w:szCs w:val="28"/>
        </w:rPr>
        <w:t>.</w:t>
      </w:r>
    </w:p>
    <w:p w:rsidR="00363113" w:rsidRPr="00410C05" w:rsidRDefault="00363113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410C05">
        <w:rPr>
          <w:color w:val="000000"/>
          <w:sz w:val="28"/>
          <w:szCs w:val="28"/>
        </w:rPr>
        <w:t>Джерело отримання інформації</w:t>
      </w:r>
      <w:r w:rsidR="00DA2E83">
        <w:rPr>
          <w:color w:val="000000"/>
          <w:sz w:val="28"/>
          <w:szCs w:val="28"/>
        </w:rPr>
        <w:t xml:space="preserve"> – </w:t>
      </w:r>
      <w:r w:rsidRPr="00410C05">
        <w:rPr>
          <w:i/>
          <w:color w:val="000000"/>
          <w:sz w:val="28"/>
          <w:szCs w:val="28"/>
        </w:rPr>
        <w:t>https://zakon.rada.gov.ua/laws/show/294-20.</w:t>
      </w:r>
    </w:p>
    <w:p w:rsidR="00363113" w:rsidRPr="00625BA5" w:rsidRDefault="00363113" w:rsidP="00DA2E83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  <w:r w:rsidRPr="00CE59AA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tbl>
      <w:tblPr>
        <w:tblStyle w:val="-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821"/>
        <w:gridCol w:w="1588"/>
        <w:gridCol w:w="1276"/>
        <w:gridCol w:w="1276"/>
        <w:gridCol w:w="1417"/>
      </w:tblGrid>
      <w:tr w:rsidR="00F43277" w:rsidRPr="00340C63" w:rsidTr="00DA2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підприємництв</w:t>
            </w:r>
            <w:proofErr w:type="spellEnd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Вартість часу співробітника держоргану відповідної категорії (заробітна плата)</w:t>
            </w:r>
            <w:r w:rsidR="00936D2C" w:rsidRPr="00340C63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  <w:r w:rsidR="00936D2C" w:rsidRPr="00340C63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 xml:space="preserve">Оцінка кількості  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br/>
              <w:t>суб’єктів, що підпадають під дію процедури регулювання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43277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1.  Облік суб’єкта господарювання, що 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перебуває у сфері регулювання</w:t>
            </w:r>
            <w:r w:rsidR="00936D2C" w:rsidRPr="00340C63">
              <w:rPr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8C6C6C" w:rsidRPr="00340C63" w:rsidTr="00DA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F43277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:rsidTr="00DA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3.</w:t>
            </w:r>
            <w:r w:rsidR="00721BF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Підготовка, затвердження та опрацювання одного окремого </w:t>
            </w:r>
            <w:proofErr w:type="spellStart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про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F43277" w:rsidRPr="00340C63" w:rsidTr="00DA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D17DCB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340C63" w:rsidRDefault="002609FA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0B0D71" w:rsidRPr="00340C63" w:rsidRDefault="000B0D71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B0D71" w:rsidRPr="00340C63" w:rsidRDefault="000B0D71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332</w:t>
            </w:r>
          </w:p>
          <w:p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0B0D71" w:rsidRPr="00340C63" w:rsidRDefault="000B0D71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71" w:rsidRPr="00340C63" w:rsidRDefault="00D17DCB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>19996,36</w:t>
            </w:r>
            <w:r w:rsidR="00C933DE"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  <w:p w:rsidR="00F43277" w:rsidRPr="00340C63" w:rsidRDefault="00F43277" w:rsidP="00C933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8C6C6C" w:rsidRPr="00340C63" w:rsidTr="00DA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C6C6C" w:rsidRPr="00340C63" w:rsidRDefault="008C6C6C" w:rsidP="002D0B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8C6C6C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7.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Інші адміністративні процедури (уточнити): копії, переоформлення, дублікат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609FA" w:rsidRPr="00340C63" w:rsidTr="00DA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609FA" w:rsidRPr="00340C63" w:rsidRDefault="002609FA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609FA" w:rsidRPr="00340C63" w:rsidRDefault="00D17DCB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0B0D71" w:rsidRPr="00340C63" w:rsidRDefault="000B0D71" w:rsidP="00625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609FA" w:rsidRPr="00340C63" w:rsidRDefault="00D17DCB" w:rsidP="00625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>19996,36 грн</w:t>
            </w:r>
          </w:p>
        </w:tc>
      </w:tr>
      <w:tr w:rsidR="00F43277" w:rsidRPr="00340C63" w:rsidTr="00DA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D17DCB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B0D71" w:rsidRPr="00340C63" w:rsidRDefault="000B0D71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340C63" w:rsidRDefault="00FB499E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99981,8 грн</w:t>
            </w:r>
          </w:p>
        </w:tc>
      </w:tr>
    </w:tbl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  <w:gridCol w:w="20"/>
      </w:tblGrid>
      <w:tr w:rsidR="0099207A" w:rsidTr="00DA2E83">
        <w:trPr>
          <w:gridAfter w:val="1"/>
          <w:wAfter w:w="10" w:type="pct"/>
          <w:trHeight w:val="120"/>
          <w:tblCellSpacing w:w="0" w:type="dxa"/>
        </w:trPr>
        <w:tc>
          <w:tcPr>
            <w:tcW w:w="4990" w:type="pct"/>
            <w:hideMark/>
          </w:tcPr>
          <w:p w:rsidR="008D017A" w:rsidRPr="00ED35DC" w:rsidRDefault="00F43277" w:rsidP="00363113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___</w:t>
            </w:r>
            <w:r w:rsidR="00ED35DC" w:rsidRPr="00ED35DC">
              <w:rPr>
                <w:color w:val="000000"/>
                <w:shd w:val="clear" w:color="auto" w:fill="FFFFFF"/>
                <w:lang w:val="uk-UA"/>
              </w:rPr>
              <w:t>_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</w:t>
            </w:r>
          </w:p>
          <w:p w:rsidR="00DA2E83" w:rsidRPr="0099207A" w:rsidRDefault="001E23BF" w:rsidP="00ED35DC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99207A">
              <w:rPr>
                <w:sz w:val="20"/>
                <w:szCs w:val="20"/>
                <w:lang w:val="uk-UA"/>
              </w:rPr>
              <w:t xml:space="preserve">* суб’єкти господарювання, які підпадають під дію регулювання, вже перебувають на обліку </w:t>
            </w:r>
            <w:r w:rsidR="008C6C6C" w:rsidRPr="0099207A">
              <w:rPr>
                <w:sz w:val="20"/>
                <w:szCs w:val="20"/>
                <w:lang w:val="uk-UA"/>
              </w:rPr>
              <w:t>МВС</w:t>
            </w:r>
            <w:r w:rsidRPr="0099207A">
              <w:rPr>
                <w:sz w:val="20"/>
                <w:szCs w:val="20"/>
                <w:lang w:val="uk-UA"/>
              </w:rPr>
              <w:t>. Поточний контроль за суб’єктом господарювання здійснюється шляхом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>проведення заходів державного нагляду (контролю)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посадовими особами МВС</w:t>
            </w:r>
            <w:r w:rsidRPr="0099207A">
              <w:rPr>
                <w:sz w:val="20"/>
                <w:szCs w:val="20"/>
                <w:lang w:val="uk-UA"/>
              </w:rPr>
              <w:t xml:space="preserve"> відповідно до Закону України «Про основні засади державного нагляду (контролю) у сфері господарської</w:t>
            </w:r>
            <w:r w:rsid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діяльності». Підготовка, затвердження та опрацювання одного окремого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 про порушення вимог регулювання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проводиться 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згідно </w:t>
            </w:r>
            <w:r w:rsidRPr="0099207A">
              <w:rPr>
                <w:sz w:val="20"/>
                <w:szCs w:val="20"/>
                <w:lang w:val="uk-UA"/>
              </w:rPr>
              <w:t xml:space="preserve">з уніфікованою формою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, </w:t>
            </w:r>
            <w:r w:rsidR="0099207A" w:rsidRPr="0099207A">
              <w:rPr>
                <w:rStyle w:val="rvts15"/>
                <w:sz w:val="20"/>
                <w:szCs w:val="20"/>
                <w:lang w:val="uk-UA"/>
              </w:rPr>
              <w:t xml:space="preserve">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охоронної діяльності, що підлягає ліцензуванню, затвердженого наказом МВС від </w:t>
            </w:r>
            <w:hyperlink r:id="rId8" w:anchor="n8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04 лютого 2019 року № 82</w:t>
              </w:r>
            </w:hyperlink>
            <w:r w:rsidR="0099207A" w:rsidRPr="0099207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>(в редакції наказу МВС 30 січня 2020 року</w:t>
            </w:r>
            <w:r w:rsidR="0099207A" w:rsidRPr="0099207A">
              <w:rPr>
                <w:rStyle w:val="rvts9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9" w:anchor="n7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№ 80</w:t>
              </w:r>
            </w:hyperlink>
            <w:r w:rsidR="00721BFB">
              <w:rPr>
                <w:rStyle w:val="rvts9"/>
                <w:sz w:val="20"/>
                <w:szCs w:val="20"/>
                <w:lang w:val="uk-UA"/>
              </w:rPr>
              <w:t xml:space="preserve">), зареєстрованим в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 xml:space="preserve"> Міністерстві юстиції України 21 лютого 2019 року за № 183/33154</w:t>
            </w:r>
            <w:r w:rsidR="0099207A">
              <w:rPr>
                <w:rStyle w:val="rvts9"/>
                <w:sz w:val="20"/>
                <w:szCs w:val="20"/>
                <w:lang w:val="uk-UA"/>
              </w:rPr>
              <w:t>;</w:t>
            </w:r>
          </w:p>
        </w:tc>
      </w:tr>
      <w:tr w:rsidR="0099207A" w:rsidTr="00DA2E83">
        <w:trPr>
          <w:trHeight w:val="1375"/>
          <w:tblCellSpacing w:w="0" w:type="dxa"/>
        </w:trPr>
        <w:tc>
          <w:tcPr>
            <w:tcW w:w="4990" w:type="pct"/>
            <w:hideMark/>
          </w:tcPr>
          <w:p w:rsid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bookmarkStart w:id="2" w:name="n3"/>
            <w:bookmarkEnd w:id="2"/>
            <w:r w:rsidRPr="00A33949">
              <w:rPr>
                <w:sz w:val="20"/>
                <w:szCs w:val="20"/>
              </w:rPr>
              <w:t xml:space="preserve">** грошове місячне утримання головних спеціалістів МВС визначається відповідно до постанови Кабінету Міністрів України </w:t>
            </w:r>
            <w:r w:rsidRPr="00A33949">
              <w:rPr>
                <w:sz w:val="20"/>
                <w:szCs w:val="20"/>
                <w:lang w:eastAsia="ru-RU"/>
              </w:rPr>
              <w:t>від 18 січня 2017 року № 15 «</w:t>
            </w:r>
            <w:r w:rsidRPr="00A33949">
              <w:rPr>
                <w:rStyle w:val="rvts23"/>
                <w:sz w:val="20"/>
                <w:szCs w:val="20"/>
              </w:rPr>
              <w:t>Питання оплати праці працівників державних органів</w:t>
            </w:r>
            <w:r w:rsidRPr="00A33949">
              <w:rPr>
                <w:sz w:val="20"/>
                <w:szCs w:val="20"/>
                <w:lang w:eastAsia="ru-RU"/>
              </w:rPr>
              <w:t xml:space="preserve">» (зі змінами) </w:t>
            </w:r>
            <w:r w:rsidRPr="00A33949">
              <w:rPr>
                <w:sz w:val="20"/>
                <w:szCs w:val="20"/>
              </w:rPr>
              <w:t>і в середньому складає 10600 гривень/місяць (10600 грн / 22 робочі дні / 8 годин = 60,23 грн/год);</w:t>
            </w:r>
          </w:p>
          <w:p w:rsidR="0099207A" w:rsidRP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</w:pPr>
            <w:r>
              <w:rPr>
                <w:sz w:val="19"/>
                <w:szCs w:val="19"/>
              </w:rPr>
              <w:t>*** відповідно до абзацу одинадцятого частини другої статті 5 Закону України «Про основні засади державного нагляду (контролю) у сфері господарської діяльності» планові заходи державного нагляду(контролю) за додержанням суб’єктами господарювання вимог законодавства з високим ступенем ризику здійснюються не частіше ніж один раз на два роки.</w:t>
            </w:r>
          </w:p>
        </w:tc>
        <w:tc>
          <w:tcPr>
            <w:tcW w:w="10" w:type="pct"/>
            <w:hideMark/>
          </w:tcPr>
          <w:p w:rsidR="0099207A" w:rsidRDefault="0099207A" w:rsidP="0099207A">
            <w:pPr>
              <w:pStyle w:val="rvps14"/>
            </w:pPr>
          </w:p>
        </w:tc>
      </w:tr>
      <w:tr w:rsidR="00DA2E83" w:rsidTr="00DA2E83">
        <w:trPr>
          <w:trHeight w:val="567"/>
          <w:tblCellSpacing w:w="0" w:type="dxa"/>
        </w:trPr>
        <w:tc>
          <w:tcPr>
            <w:tcW w:w="4990" w:type="pct"/>
          </w:tcPr>
          <w:p w:rsidR="00DA2E83" w:rsidRP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10622">
              <w:rPr>
                <w:color w:val="000000"/>
                <w:sz w:val="28"/>
                <w:szCs w:val="28"/>
              </w:rPr>
              <w:t>Примітка:</w:t>
            </w:r>
            <w:r w:rsidRPr="003C7837">
              <w:rPr>
                <w:color w:val="000000"/>
                <w:sz w:val="28"/>
                <w:szCs w:val="28"/>
              </w:rPr>
              <w:t xml:space="preserve"> </w:t>
            </w:r>
          </w:p>
          <w:p w:rsidR="00ED35DC" w:rsidRPr="00A33949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Г</w:t>
            </w:r>
            <w:r w:rsidRPr="00A33949">
              <w:rPr>
                <w:sz w:val="28"/>
                <w:szCs w:val="28"/>
              </w:rPr>
              <w:t xml:space="preserve">рошове місячне утримання головних спеціалістів МВС визначається відповідно до постанови Кабінету Міністрів України </w:t>
            </w:r>
            <w:r w:rsidRPr="00A33949">
              <w:rPr>
                <w:sz w:val="28"/>
                <w:szCs w:val="28"/>
                <w:lang w:eastAsia="ru-RU"/>
              </w:rPr>
              <w:t xml:space="preserve">від 18 січня 2017 року 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 w:rsidRPr="00A33949">
              <w:rPr>
                <w:sz w:val="28"/>
                <w:szCs w:val="28"/>
                <w:lang w:eastAsia="ru-RU"/>
              </w:rPr>
              <w:t>№ 15 «</w:t>
            </w:r>
            <w:r w:rsidRPr="00A33949">
              <w:rPr>
                <w:rStyle w:val="rvts23"/>
                <w:sz w:val="28"/>
                <w:szCs w:val="28"/>
              </w:rPr>
              <w:t>Питання оплати праці працівників державних органів</w:t>
            </w:r>
            <w:r w:rsidRPr="00A33949">
              <w:rPr>
                <w:sz w:val="28"/>
                <w:szCs w:val="28"/>
                <w:lang w:eastAsia="ru-RU"/>
              </w:rPr>
              <w:t>» (зі змінами)</w:t>
            </w:r>
            <w:r w:rsidRPr="00A33949">
              <w:rPr>
                <w:color w:val="000000"/>
                <w:sz w:val="28"/>
                <w:szCs w:val="28"/>
              </w:rPr>
              <w:t>.</w:t>
            </w:r>
          </w:p>
          <w:p w:rsidR="00ED35DC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Джерело отримання інформації:</w:t>
            </w:r>
          </w:p>
          <w:p w:rsidR="00ED35DC" w:rsidRDefault="004F510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4F510C">
              <w:rPr>
                <w:i/>
                <w:color w:val="000000"/>
                <w:sz w:val="28"/>
                <w:szCs w:val="28"/>
              </w:rPr>
              <w:t>https://zakon.rada.gov.ua/laws/show/15-2017-%D0%BF</w:t>
            </w:r>
            <w:r w:rsidR="00ED35DC">
              <w:rPr>
                <w:i/>
                <w:color w:val="000000"/>
                <w:sz w:val="28"/>
                <w:szCs w:val="28"/>
              </w:rPr>
              <w:t>.</w:t>
            </w:r>
          </w:p>
          <w:p w:rsidR="004F510C" w:rsidRPr="004760E1" w:rsidRDefault="004F510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ED35DC" w:rsidRPr="002D0BD4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ED35DC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2F05">
              <w:rPr>
                <w:color w:val="000000"/>
                <w:sz w:val="28"/>
                <w:szCs w:val="28"/>
              </w:rPr>
              <w:lastRenderedPageBreak/>
              <w:t>Державне регулювання не передбачає утворення нового державного органу</w:t>
            </w:r>
            <w:r>
              <w:rPr>
                <w:color w:val="000000"/>
                <w:sz w:val="28"/>
                <w:szCs w:val="28"/>
              </w:rPr>
              <w:t xml:space="preserve"> або нового структурного підрозділу діючого органу</w:t>
            </w:r>
            <w:r w:rsidRPr="008C2F05">
              <w:rPr>
                <w:color w:val="000000"/>
                <w:sz w:val="28"/>
                <w:szCs w:val="28"/>
              </w:rPr>
              <w:t>.</w:t>
            </w:r>
          </w:p>
          <w:p w:rsidR="00DA2E83" w:rsidRPr="00A33949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" w:type="pct"/>
          </w:tcPr>
          <w:p w:rsidR="00DA2E83" w:rsidRDefault="00DA2E83" w:rsidP="0099207A">
            <w:pPr>
              <w:pStyle w:val="rvps14"/>
            </w:pPr>
          </w:p>
        </w:tc>
      </w:tr>
      <w:tr w:rsidR="0099207A" w:rsidRPr="0099207A" w:rsidTr="00DA2E83">
        <w:trPr>
          <w:gridAfter w:val="1"/>
          <w:wAfter w:w="10" w:type="pct"/>
          <w:trHeight w:val="8931"/>
          <w:tblCellSpacing w:w="0" w:type="dxa"/>
        </w:trPr>
        <w:tc>
          <w:tcPr>
            <w:tcW w:w="4990" w:type="pct"/>
            <w:hideMark/>
          </w:tcPr>
          <w:p w:rsidR="00ED35DC" w:rsidRDefault="00ED35DC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Розрахунок сумарних витрат суб’єктів малого підприємництва, що виникають на виконання вимог регулювання</w:t>
            </w:r>
          </w:p>
          <w:p w:rsidR="00A33949" w:rsidRPr="00A85ACF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"/>
              <w:gridCol w:w="4161"/>
              <w:gridCol w:w="2429"/>
              <w:gridCol w:w="2429"/>
            </w:tblGrid>
            <w:tr w:rsidR="00A33949" w:rsidRPr="001004E9" w:rsidTr="007651F5">
              <w:trPr>
                <w:cantSplit/>
                <w:trHeight w:val="1408"/>
                <w:jc w:val="center"/>
              </w:trPr>
              <w:tc>
                <w:tcPr>
                  <w:tcW w:w="668" w:type="dxa"/>
                  <w:textDirection w:val="btLr"/>
                </w:tcPr>
                <w:p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4161" w:type="dxa"/>
                </w:tcPr>
                <w:p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2429" w:type="dxa"/>
                </w:tcPr>
                <w:p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Перший рік регулювання (стартовий)</w:t>
                  </w:r>
                </w:p>
              </w:tc>
              <w:tc>
                <w:tcPr>
                  <w:tcW w:w="2429" w:type="dxa"/>
                </w:tcPr>
                <w:p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A33949" w:rsidRPr="001004E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п’ять років</w:t>
                  </w:r>
                </w:p>
              </w:tc>
            </w:tr>
            <w:tr w:rsidR="00ED35DC" w:rsidRPr="001004E9" w:rsidTr="007651F5">
              <w:trPr>
                <w:trHeight w:val="900"/>
                <w:jc w:val="center"/>
              </w:trPr>
              <w:tc>
                <w:tcPr>
                  <w:tcW w:w="668" w:type="dxa"/>
                </w:tcPr>
                <w:p w:rsidR="00ED35DC" w:rsidRPr="00ED35DC" w:rsidRDefault="00ED35DC" w:rsidP="00502CE7">
                  <w:pPr>
                    <w:pStyle w:val="aa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D35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61" w:type="dxa"/>
                </w:tcPr>
                <w:p w:rsidR="00ED35DC" w:rsidRPr="00ED35DC" w:rsidRDefault="00ED35DC" w:rsidP="00502CE7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Оцінка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прямих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»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суб’єктів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малого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підприємництва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виконання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регулювання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відсутні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429" w:type="dxa"/>
                  <w:vAlign w:val="center"/>
                </w:tcPr>
                <w:p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відсутні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33949" w:rsidRPr="001004E9" w:rsidTr="007651F5">
              <w:trPr>
                <w:jc w:val="center"/>
              </w:trPr>
              <w:tc>
                <w:tcPr>
                  <w:tcW w:w="668" w:type="dxa"/>
                </w:tcPr>
                <w:p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4161" w:type="dxa"/>
                </w:tcPr>
                <w:p w:rsidR="00A33949" w:rsidRPr="001004E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Оцінка вартості адміністративних процедур для суб’єктів малого підприємництва щодо виконання регулювання та звітування</w:t>
                  </w:r>
                </w:p>
              </w:tc>
              <w:tc>
                <w:tcPr>
                  <w:tcW w:w="2429" w:type="dxa"/>
                  <w:vAlign w:val="center"/>
                </w:tcPr>
                <w:p w:rsidR="003F11CD" w:rsidRPr="00B56735" w:rsidRDefault="003F11C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340C63" w:rsidRPr="00B56735" w:rsidRDefault="00340C63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37595,68 </w:t>
                  </w:r>
                  <w:proofErr w:type="spellStart"/>
                  <w:r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:rsidR="00CB0F30" w:rsidRPr="00B56735" w:rsidRDefault="00CB0F30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A33949" w:rsidRPr="00B56735" w:rsidRDefault="00A33949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:rsidR="00340C63" w:rsidRPr="00B56735" w:rsidRDefault="006B70B6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187978,4 </w:t>
                  </w:r>
                  <w:proofErr w:type="spellStart"/>
                  <w:r w:rsidR="00340C63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:rsidR="00A33949" w:rsidRPr="00B56735" w:rsidRDefault="00A33949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AB55FA" w:rsidRPr="001004E9" w:rsidTr="007651F5">
              <w:trPr>
                <w:jc w:val="center"/>
              </w:trPr>
              <w:tc>
                <w:tcPr>
                  <w:tcW w:w="668" w:type="dxa"/>
                </w:tcPr>
                <w:p w:rsidR="00AB55FA" w:rsidRPr="00FE74E0" w:rsidRDefault="00AB55FA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4161" w:type="dxa"/>
                </w:tcPr>
                <w:p w:rsidR="00AB55FA" w:rsidRPr="001004E9" w:rsidRDefault="00AB55FA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малого підприємництва на виконання запланованого  регулювання</w:t>
                  </w:r>
                </w:p>
              </w:tc>
              <w:tc>
                <w:tcPr>
                  <w:tcW w:w="2429" w:type="dxa"/>
                  <w:vAlign w:val="center"/>
                </w:tcPr>
                <w:p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  <w:p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  <w:r w:rsidRPr="00AB55F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 xml:space="preserve">37595,68 </w:t>
                  </w:r>
                  <w:proofErr w:type="spellStart"/>
                  <w:r w:rsidRPr="00AB55F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>грн</w:t>
                  </w:r>
                  <w:proofErr w:type="spellEnd"/>
                </w:p>
                <w:p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</w:p>
                <w:p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:rsidR="00AB55FA" w:rsidRPr="00AB55FA" w:rsidRDefault="006B70B6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187978,4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</w:t>
                  </w:r>
                  <w:r w:rsidR="00AB55FA" w:rsidRPr="00AB55F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>рн</w:t>
                  </w:r>
                  <w:proofErr w:type="spellEnd"/>
                </w:p>
                <w:p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</w:tc>
            </w:tr>
            <w:tr w:rsidR="00A33949" w:rsidRPr="001004E9" w:rsidTr="007651F5">
              <w:trPr>
                <w:jc w:val="center"/>
              </w:trPr>
              <w:tc>
                <w:tcPr>
                  <w:tcW w:w="668" w:type="dxa"/>
                </w:tcPr>
                <w:p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4161" w:type="dxa"/>
                </w:tcPr>
                <w:p w:rsidR="00721BFB" w:rsidRPr="001004E9" w:rsidRDefault="00A33949" w:rsidP="00721B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Бюджетні витрати  на адміністрування регулювання суб’єктів малого підприємництва</w:t>
                  </w:r>
                </w:p>
              </w:tc>
              <w:tc>
                <w:tcPr>
                  <w:tcW w:w="2429" w:type="dxa"/>
                </w:tcPr>
                <w:p w:rsidR="00A33949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B56735" w:rsidRPr="00B56735" w:rsidRDefault="00B56735" w:rsidP="00721B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19996,36 </w:t>
                  </w:r>
                  <w:proofErr w:type="spellStart"/>
                  <w:r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грн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:rsidR="00721BFB" w:rsidRDefault="00721BFB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9C28FA" w:rsidRPr="00B56735" w:rsidRDefault="009C28FA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99981,8</w:t>
                  </w:r>
                  <w:r w:rsidR="001A2B27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0</w:t>
                  </w:r>
                  <w:r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:rsidR="00A33949" w:rsidRPr="00B56735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A33949" w:rsidRPr="001004E9" w:rsidTr="007651F5">
              <w:trPr>
                <w:jc w:val="center"/>
              </w:trPr>
              <w:tc>
                <w:tcPr>
                  <w:tcW w:w="668" w:type="dxa"/>
                </w:tcPr>
                <w:p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4161" w:type="dxa"/>
                </w:tcPr>
                <w:p w:rsidR="00A3394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на виконання запланованого регулювання</w:t>
                  </w:r>
                </w:p>
                <w:p w:rsidR="00721BFB" w:rsidRPr="001004E9" w:rsidRDefault="00721BFB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:rsidR="00A33949" w:rsidRPr="00B56735" w:rsidRDefault="006B70B6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57592,04</w:t>
                  </w:r>
                  <w:r w:rsidR="00B56735" w:rsidRPr="00B5673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грн</w:t>
                  </w:r>
                </w:p>
              </w:tc>
              <w:tc>
                <w:tcPr>
                  <w:tcW w:w="2429" w:type="dxa"/>
                  <w:vAlign w:val="center"/>
                </w:tcPr>
                <w:p w:rsidR="00A33949" w:rsidRPr="00B56735" w:rsidRDefault="006B70B6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287960,2 грн</w:t>
                  </w:r>
                </w:p>
              </w:tc>
            </w:tr>
          </w:tbl>
          <w:p w:rsidR="004B00A9" w:rsidRDefault="004B00A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Розроблення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корегуючих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(пом’якшувальних) заходів для малого підприємництва щодо запропонованого регулювання</w:t>
            </w:r>
          </w:p>
          <w:p w:rsidR="00A33949" w:rsidRPr="001A4A17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9207A" w:rsidRPr="0099207A" w:rsidRDefault="00A33949" w:rsidP="00625BA5">
            <w:pPr>
              <w:pStyle w:val="aa"/>
              <w:spacing w:after="0" w:line="240" w:lineRule="auto"/>
              <w:ind w:left="0" w:firstLine="709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Компенсаторні механізми на виконання запропонованого регулювання для суб’єктів малого підприємництва не пропонуються, оскільки регуляторним актом установлюються вимоги для всіх суб’єктів господарювання</w:t>
            </w:r>
            <w:r w:rsidRPr="001A4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530FE" w:rsidRDefault="000530FE" w:rsidP="000530F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99207A" w:rsidRDefault="0099207A" w:rsidP="00F43277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</w:p>
    <w:sectPr w:rsidR="0099207A" w:rsidSect="00ED35DC">
      <w:headerReference w:type="default" r:id="rId10"/>
      <w:footerReference w:type="even" r:id="rId11"/>
      <w:footerReference w:type="default" r:id="rId12"/>
      <w:pgSz w:w="11906" w:h="16838"/>
      <w:pgMar w:top="1021" w:right="424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7" w:rsidRDefault="000E27B7" w:rsidP="00B64ED8">
      <w:pPr>
        <w:spacing w:after="0" w:line="240" w:lineRule="auto"/>
      </w:pPr>
      <w:r>
        <w:separator/>
      </w:r>
    </w:p>
  </w:endnote>
  <w:endnote w:type="continuationSeparator" w:id="0">
    <w:p w:rsidR="000E27B7" w:rsidRDefault="000E27B7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6C" w:rsidRDefault="0023668F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C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C6C" w:rsidRDefault="008C6C6C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6C" w:rsidRDefault="008C6C6C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7" w:rsidRDefault="000E27B7" w:rsidP="00B64ED8">
      <w:pPr>
        <w:spacing w:after="0" w:line="240" w:lineRule="auto"/>
      </w:pPr>
      <w:r>
        <w:separator/>
      </w:r>
    </w:p>
  </w:footnote>
  <w:footnote w:type="continuationSeparator" w:id="0">
    <w:p w:rsidR="000E27B7" w:rsidRDefault="000E27B7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50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6C6C" w:rsidRPr="006F6F7F" w:rsidRDefault="008C6C6C">
        <w:pPr>
          <w:pStyle w:val="a3"/>
          <w:jc w:val="center"/>
          <w:rPr>
            <w:sz w:val="36"/>
            <w:szCs w:val="36"/>
          </w:rPr>
        </w:pPr>
      </w:p>
      <w:p w:rsidR="008C6C6C" w:rsidRPr="00077F92" w:rsidRDefault="002366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6C6C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84D" w:rsidRPr="0031184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8"/>
    <w:rsid w:val="0000088E"/>
    <w:rsid w:val="00004CC2"/>
    <w:rsid w:val="00005206"/>
    <w:rsid w:val="00005C3B"/>
    <w:rsid w:val="00005C79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46"/>
    <w:rsid w:val="000375EB"/>
    <w:rsid w:val="000429D1"/>
    <w:rsid w:val="0004522A"/>
    <w:rsid w:val="000459B6"/>
    <w:rsid w:val="000517BA"/>
    <w:rsid w:val="000530FE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A0805"/>
    <w:rsid w:val="000A0894"/>
    <w:rsid w:val="000A1F16"/>
    <w:rsid w:val="000A4B5F"/>
    <w:rsid w:val="000A7CB6"/>
    <w:rsid w:val="000B0223"/>
    <w:rsid w:val="000B0D71"/>
    <w:rsid w:val="000B2057"/>
    <w:rsid w:val="000B649F"/>
    <w:rsid w:val="000B6988"/>
    <w:rsid w:val="000C110B"/>
    <w:rsid w:val="000C48AA"/>
    <w:rsid w:val="000C61CD"/>
    <w:rsid w:val="000D07DE"/>
    <w:rsid w:val="000D0E96"/>
    <w:rsid w:val="000D10DB"/>
    <w:rsid w:val="000D1542"/>
    <w:rsid w:val="000D212D"/>
    <w:rsid w:val="000D28AF"/>
    <w:rsid w:val="000D356A"/>
    <w:rsid w:val="000E06D6"/>
    <w:rsid w:val="000E27B7"/>
    <w:rsid w:val="000E6036"/>
    <w:rsid w:val="000E73A7"/>
    <w:rsid w:val="000F31B9"/>
    <w:rsid w:val="000F5018"/>
    <w:rsid w:val="000F646A"/>
    <w:rsid w:val="000F7062"/>
    <w:rsid w:val="0010009E"/>
    <w:rsid w:val="001004E9"/>
    <w:rsid w:val="001067C9"/>
    <w:rsid w:val="00106F5D"/>
    <w:rsid w:val="00113F14"/>
    <w:rsid w:val="00124B07"/>
    <w:rsid w:val="001253CE"/>
    <w:rsid w:val="00131B58"/>
    <w:rsid w:val="00132243"/>
    <w:rsid w:val="00132A38"/>
    <w:rsid w:val="001342DA"/>
    <w:rsid w:val="00135302"/>
    <w:rsid w:val="00135813"/>
    <w:rsid w:val="001358C0"/>
    <w:rsid w:val="001360F8"/>
    <w:rsid w:val="001376E8"/>
    <w:rsid w:val="001425C8"/>
    <w:rsid w:val="0014359A"/>
    <w:rsid w:val="0014375C"/>
    <w:rsid w:val="001437EF"/>
    <w:rsid w:val="00143AF5"/>
    <w:rsid w:val="0014754E"/>
    <w:rsid w:val="001502AD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1F"/>
    <w:rsid w:val="00165D8B"/>
    <w:rsid w:val="00166DC9"/>
    <w:rsid w:val="00174438"/>
    <w:rsid w:val="00174E9A"/>
    <w:rsid w:val="001754D7"/>
    <w:rsid w:val="00176ED0"/>
    <w:rsid w:val="001835D4"/>
    <w:rsid w:val="001938E9"/>
    <w:rsid w:val="00193A43"/>
    <w:rsid w:val="00195829"/>
    <w:rsid w:val="001A0A28"/>
    <w:rsid w:val="001A2B27"/>
    <w:rsid w:val="001A4765"/>
    <w:rsid w:val="001A4A17"/>
    <w:rsid w:val="001B2685"/>
    <w:rsid w:val="001B3746"/>
    <w:rsid w:val="001B673B"/>
    <w:rsid w:val="001B675C"/>
    <w:rsid w:val="001B6EC7"/>
    <w:rsid w:val="001C15AC"/>
    <w:rsid w:val="001C15DD"/>
    <w:rsid w:val="001C45D6"/>
    <w:rsid w:val="001C5434"/>
    <w:rsid w:val="001C7B93"/>
    <w:rsid w:val="001D16A6"/>
    <w:rsid w:val="001D2807"/>
    <w:rsid w:val="001D2D0C"/>
    <w:rsid w:val="001E04D9"/>
    <w:rsid w:val="001E23BF"/>
    <w:rsid w:val="001F46AE"/>
    <w:rsid w:val="00201A84"/>
    <w:rsid w:val="00204527"/>
    <w:rsid w:val="002053BA"/>
    <w:rsid w:val="0020577A"/>
    <w:rsid w:val="0021241C"/>
    <w:rsid w:val="002154F1"/>
    <w:rsid w:val="00221C95"/>
    <w:rsid w:val="0022442E"/>
    <w:rsid w:val="00224A35"/>
    <w:rsid w:val="002276FD"/>
    <w:rsid w:val="00236205"/>
    <w:rsid w:val="0023668F"/>
    <w:rsid w:val="00240D8C"/>
    <w:rsid w:val="0024184F"/>
    <w:rsid w:val="00241DB1"/>
    <w:rsid w:val="002427E6"/>
    <w:rsid w:val="00244451"/>
    <w:rsid w:val="0025224D"/>
    <w:rsid w:val="00256F30"/>
    <w:rsid w:val="00257A60"/>
    <w:rsid w:val="00260076"/>
    <w:rsid w:val="00260918"/>
    <w:rsid w:val="002609FA"/>
    <w:rsid w:val="00260E85"/>
    <w:rsid w:val="00261CF5"/>
    <w:rsid w:val="00273729"/>
    <w:rsid w:val="0027378A"/>
    <w:rsid w:val="00273E36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2DE7"/>
    <w:rsid w:val="002B4651"/>
    <w:rsid w:val="002B49E5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184D"/>
    <w:rsid w:val="00315D42"/>
    <w:rsid w:val="003201F5"/>
    <w:rsid w:val="00323805"/>
    <w:rsid w:val="00324D85"/>
    <w:rsid w:val="003278B4"/>
    <w:rsid w:val="003334E6"/>
    <w:rsid w:val="00333A61"/>
    <w:rsid w:val="003343A3"/>
    <w:rsid w:val="00336FA2"/>
    <w:rsid w:val="00337684"/>
    <w:rsid w:val="00337907"/>
    <w:rsid w:val="00337ACF"/>
    <w:rsid w:val="00340C63"/>
    <w:rsid w:val="003446B4"/>
    <w:rsid w:val="00344B10"/>
    <w:rsid w:val="00351BD5"/>
    <w:rsid w:val="00352C1A"/>
    <w:rsid w:val="0035385C"/>
    <w:rsid w:val="00353E9C"/>
    <w:rsid w:val="0035655E"/>
    <w:rsid w:val="003575E4"/>
    <w:rsid w:val="0036126C"/>
    <w:rsid w:val="00363113"/>
    <w:rsid w:val="00364DD8"/>
    <w:rsid w:val="00366D9C"/>
    <w:rsid w:val="003704DB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6F3F"/>
    <w:rsid w:val="00387846"/>
    <w:rsid w:val="00387D5A"/>
    <w:rsid w:val="0039082E"/>
    <w:rsid w:val="00391E0D"/>
    <w:rsid w:val="00393AB6"/>
    <w:rsid w:val="00394BEC"/>
    <w:rsid w:val="00396D83"/>
    <w:rsid w:val="003972D5"/>
    <w:rsid w:val="00397D76"/>
    <w:rsid w:val="003A08D1"/>
    <w:rsid w:val="003A3FB7"/>
    <w:rsid w:val="003A4DDB"/>
    <w:rsid w:val="003B23E8"/>
    <w:rsid w:val="003B5BFD"/>
    <w:rsid w:val="003B695A"/>
    <w:rsid w:val="003C03EC"/>
    <w:rsid w:val="003C09EF"/>
    <w:rsid w:val="003C2755"/>
    <w:rsid w:val="003C3D9E"/>
    <w:rsid w:val="003C45C7"/>
    <w:rsid w:val="003C7617"/>
    <w:rsid w:val="003C7837"/>
    <w:rsid w:val="003C7A88"/>
    <w:rsid w:val="003D1649"/>
    <w:rsid w:val="003D239D"/>
    <w:rsid w:val="003D301F"/>
    <w:rsid w:val="003D591D"/>
    <w:rsid w:val="003D7B8F"/>
    <w:rsid w:val="003D7D12"/>
    <w:rsid w:val="003E0037"/>
    <w:rsid w:val="003E271A"/>
    <w:rsid w:val="003E492C"/>
    <w:rsid w:val="003F11CD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075CC"/>
    <w:rsid w:val="00410C05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7D90"/>
    <w:rsid w:val="00461A61"/>
    <w:rsid w:val="004624F8"/>
    <w:rsid w:val="00464529"/>
    <w:rsid w:val="00471768"/>
    <w:rsid w:val="00472017"/>
    <w:rsid w:val="00473296"/>
    <w:rsid w:val="00473D4F"/>
    <w:rsid w:val="004742CC"/>
    <w:rsid w:val="004760E1"/>
    <w:rsid w:val="00480D7B"/>
    <w:rsid w:val="00481707"/>
    <w:rsid w:val="004834A7"/>
    <w:rsid w:val="004836BC"/>
    <w:rsid w:val="0048407E"/>
    <w:rsid w:val="00491810"/>
    <w:rsid w:val="004922A1"/>
    <w:rsid w:val="00497427"/>
    <w:rsid w:val="004A5CAC"/>
    <w:rsid w:val="004B00A9"/>
    <w:rsid w:val="004B06D9"/>
    <w:rsid w:val="004B1486"/>
    <w:rsid w:val="004B65A5"/>
    <w:rsid w:val="004B68B9"/>
    <w:rsid w:val="004B7A09"/>
    <w:rsid w:val="004C0182"/>
    <w:rsid w:val="004C3F14"/>
    <w:rsid w:val="004D0246"/>
    <w:rsid w:val="004D17D6"/>
    <w:rsid w:val="004D2A28"/>
    <w:rsid w:val="004D31F7"/>
    <w:rsid w:val="004D5B68"/>
    <w:rsid w:val="004D7E8C"/>
    <w:rsid w:val="004E6B41"/>
    <w:rsid w:val="004F1094"/>
    <w:rsid w:val="004F133F"/>
    <w:rsid w:val="004F2D8B"/>
    <w:rsid w:val="004F4459"/>
    <w:rsid w:val="004F510C"/>
    <w:rsid w:val="004F7BEA"/>
    <w:rsid w:val="00501133"/>
    <w:rsid w:val="00504BFB"/>
    <w:rsid w:val="005054A9"/>
    <w:rsid w:val="00510B4C"/>
    <w:rsid w:val="00512525"/>
    <w:rsid w:val="0051319A"/>
    <w:rsid w:val="00514CA2"/>
    <w:rsid w:val="005169DC"/>
    <w:rsid w:val="0051732D"/>
    <w:rsid w:val="0052341E"/>
    <w:rsid w:val="00533390"/>
    <w:rsid w:val="00533428"/>
    <w:rsid w:val="00533FBB"/>
    <w:rsid w:val="00534599"/>
    <w:rsid w:val="00537D0A"/>
    <w:rsid w:val="005401FB"/>
    <w:rsid w:val="00552D8C"/>
    <w:rsid w:val="0055436D"/>
    <w:rsid w:val="005607D7"/>
    <w:rsid w:val="00560DAB"/>
    <w:rsid w:val="005650B8"/>
    <w:rsid w:val="00567FEE"/>
    <w:rsid w:val="00570ACD"/>
    <w:rsid w:val="005711CD"/>
    <w:rsid w:val="00572810"/>
    <w:rsid w:val="005730F5"/>
    <w:rsid w:val="00576CBA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A525A"/>
    <w:rsid w:val="005B447F"/>
    <w:rsid w:val="005B68B0"/>
    <w:rsid w:val="005C0CA2"/>
    <w:rsid w:val="005C4A77"/>
    <w:rsid w:val="005C7724"/>
    <w:rsid w:val="005D0E8A"/>
    <w:rsid w:val="005D4C52"/>
    <w:rsid w:val="005D61BD"/>
    <w:rsid w:val="005D6BE2"/>
    <w:rsid w:val="005D7A6B"/>
    <w:rsid w:val="005E031A"/>
    <w:rsid w:val="005E2A25"/>
    <w:rsid w:val="005E3373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797"/>
    <w:rsid w:val="00612A22"/>
    <w:rsid w:val="00613D0F"/>
    <w:rsid w:val="00615198"/>
    <w:rsid w:val="00615C0A"/>
    <w:rsid w:val="00615FDE"/>
    <w:rsid w:val="006202D1"/>
    <w:rsid w:val="006208AB"/>
    <w:rsid w:val="006219EA"/>
    <w:rsid w:val="006220B8"/>
    <w:rsid w:val="006227BA"/>
    <w:rsid w:val="00625BA5"/>
    <w:rsid w:val="00630E25"/>
    <w:rsid w:val="006329BB"/>
    <w:rsid w:val="00634D7B"/>
    <w:rsid w:val="006376E7"/>
    <w:rsid w:val="00645D5B"/>
    <w:rsid w:val="00646BE5"/>
    <w:rsid w:val="00651095"/>
    <w:rsid w:val="006517EA"/>
    <w:rsid w:val="00652E5A"/>
    <w:rsid w:val="006533A4"/>
    <w:rsid w:val="006543B7"/>
    <w:rsid w:val="006545B8"/>
    <w:rsid w:val="0066009F"/>
    <w:rsid w:val="00661BA5"/>
    <w:rsid w:val="00662B59"/>
    <w:rsid w:val="00667D3A"/>
    <w:rsid w:val="00670279"/>
    <w:rsid w:val="0067187F"/>
    <w:rsid w:val="00680089"/>
    <w:rsid w:val="006815ED"/>
    <w:rsid w:val="006816EE"/>
    <w:rsid w:val="0068282F"/>
    <w:rsid w:val="00683BAD"/>
    <w:rsid w:val="00685DF1"/>
    <w:rsid w:val="00691BED"/>
    <w:rsid w:val="00692A3B"/>
    <w:rsid w:val="00696979"/>
    <w:rsid w:val="006A0091"/>
    <w:rsid w:val="006A23B0"/>
    <w:rsid w:val="006A3161"/>
    <w:rsid w:val="006A4A01"/>
    <w:rsid w:val="006A6F72"/>
    <w:rsid w:val="006B3864"/>
    <w:rsid w:val="006B5BF6"/>
    <w:rsid w:val="006B70B6"/>
    <w:rsid w:val="006B7D8D"/>
    <w:rsid w:val="006C392C"/>
    <w:rsid w:val="006C7BBF"/>
    <w:rsid w:val="006D2870"/>
    <w:rsid w:val="006D5B21"/>
    <w:rsid w:val="006E3B98"/>
    <w:rsid w:val="006E6320"/>
    <w:rsid w:val="006F0BC0"/>
    <w:rsid w:val="006F1968"/>
    <w:rsid w:val="006F3B88"/>
    <w:rsid w:val="006F50B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0604"/>
    <w:rsid w:val="00721BFB"/>
    <w:rsid w:val="00723EC8"/>
    <w:rsid w:val="00726A60"/>
    <w:rsid w:val="0073370F"/>
    <w:rsid w:val="00734201"/>
    <w:rsid w:val="00737F28"/>
    <w:rsid w:val="00742865"/>
    <w:rsid w:val="00743DC8"/>
    <w:rsid w:val="00745131"/>
    <w:rsid w:val="007463F1"/>
    <w:rsid w:val="00754617"/>
    <w:rsid w:val="0076119F"/>
    <w:rsid w:val="007614E6"/>
    <w:rsid w:val="007651F5"/>
    <w:rsid w:val="0076752D"/>
    <w:rsid w:val="00776ED9"/>
    <w:rsid w:val="007818AB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B26F5"/>
    <w:rsid w:val="007C1935"/>
    <w:rsid w:val="007C19E7"/>
    <w:rsid w:val="007C6135"/>
    <w:rsid w:val="007D6A70"/>
    <w:rsid w:val="007E101A"/>
    <w:rsid w:val="007E4830"/>
    <w:rsid w:val="007E7025"/>
    <w:rsid w:val="007F087C"/>
    <w:rsid w:val="007F1EEA"/>
    <w:rsid w:val="007F27F8"/>
    <w:rsid w:val="007F5C4D"/>
    <w:rsid w:val="0080205A"/>
    <w:rsid w:val="00804251"/>
    <w:rsid w:val="00806590"/>
    <w:rsid w:val="00806AC5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22E35"/>
    <w:rsid w:val="0083073F"/>
    <w:rsid w:val="00833263"/>
    <w:rsid w:val="00837647"/>
    <w:rsid w:val="00840B0E"/>
    <w:rsid w:val="00840EBC"/>
    <w:rsid w:val="00841FCE"/>
    <w:rsid w:val="00844C7F"/>
    <w:rsid w:val="00853202"/>
    <w:rsid w:val="00854BCF"/>
    <w:rsid w:val="00856149"/>
    <w:rsid w:val="0085748F"/>
    <w:rsid w:val="00857965"/>
    <w:rsid w:val="00860404"/>
    <w:rsid w:val="00862B9A"/>
    <w:rsid w:val="00862CCF"/>
    <w:rsid w:val="00863B47"/>
    <w:rsid w:val="00865B71"/>
    <w:rsid w:val="00870597"/>
    <w:rsid w:val="008707DB"/>
    <w:rsid w:val="00870CB4"/>
    <w:rsid w:val="00874160"/>
    <w:rsid w:val="00875739"/>
    <w:rsid w:val="00875CC3"/>
    <w:rsid w:val="00877D6B"/>
    <w:rsid w:val="0088193C"/>
    <w:rsid w:val="008835DC"/>
    <w:rsid w:val="008844E6"/>
    <w:rsid w:val="008874B2"/>
    <w:rsid w:val="00887FCA"/>
    <w:rsid w:val="008902BB"/>
    <w:rsid w:val="008938AF"/>
    <w:rsid w:val="008A1278"/>
    <w:rsid w:val="008B2593"/>
    <w:rsid w:val="008B25E2"/>
    <w:rsid w:val="008B4102"/>
    <w:rsid w:val="008B4668"/>
    <w:rsid w:val="008C2F05"/>
    <w:rsid w:val="008C345F"/>
    <w:rsid w:val="008C6C6C"/>
    <w:rsid w:val="008D017A"/>
    <w:rsid w:val="008D217F"/>
    <w:rsid w:val="008D24DE"/>
    <w:rsid w:val="008D3EE1"/>
    <w:rsid w:val="008E0588"/>
    <w:rsid w:val="008E12CB"/>
    <w:rsid w:val="008E5419"/>
    <w:rsid w:val="008F0611"/>
    <w:rsid w:val="008F4ADA"/>
    <w:rsid w:val="008F50E5"/>
    <w:rsid w:val="008F677C"/>
    <w:rsid w:val="008F6CFE"/>
    <w:rsid w:val="008F6DF2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4B42"/>
    <w:rsid w:val="00926E5E"/>
    <w:rsid w:val="00927740"/>
    <w:rsid w:val="009325A4"/>
    <w:rsid w:val="00933729"/>
    <w:rsid w:val="009338EB"/>
    <w:rsid w:val="00936D2C"/>
    <w:rsid w:val="00936D7C"/>
    <w:rsid w:val="00937065"/>
    <w:rsid w:val="0094051D"/>
    <w:rsid w:val="009411F7"/>
    <w:rsid w:val="00943272"/>
    <w:rsid w:val="00944182"/>
    <w:rsid w:val="009466BC"/>
    <w:rsid w:val="00946F16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207A"/>
    <w:rsid w:val="00994C4E"/>
    <w:rsid w:val="0099600F"/>
    <w:rsid w:val="00996041"/>
    <w:rsid w:val="00996448"/>
    <w:rsid w:val="009A0135"/>
    <w:rsid w:val="009A0809"/>
    <w:rsid w:val="009A1985"/>
    <w:rsid w:val="009A20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8FA"/>
    <w:rsid w:val="009C2A4F"/>
    <w:rsid w:val="009C64B0"/>
    <w:rsid w:val="009D2E41"/>
    <w:rsid w:val="009D2FEF"/>
    <w:rsid w:val="009D54EF"/>
    <w:rsid w:val="009D5D01"/>
    <w:rsid w:val="009D6096"/>
    <w:rsid w:val="009D7130"/>
    <w:rsid w:val="009E155A"/>
    <w:rsid w:val="009E385C"/>
    <w:rsid w:val="009E5662"/>
    <w:rsid w:val="009E5AE1"/>
    <w:rsid w:val="009E667C"/>
    <w:rsid w:val="009E6F87"/>
    <w:rsid w:val="009E747C"/>
    <w:rsid w:val="009F14F6"/>
    <w:rsid w:val="009F173E"/>
    <w:rsid w:val="009F1E2D"/>
    <w:rsid w:val="009F329E"/>
    <w:rsid w:val="009F40B3"/>
    <w:rsid w:val="009F40F1"/>
    <w:rsid w:val="00A035A0"/>
    <w:rsid w:val="00A040C4"/>
    <w:rsid w:val="00A04B0D"/>
    <w:rsid w:val="00A07306"/>
    <w:rsid w:val="00A10554"/>
    <w:rsid w:val="00A10FF2"/>
    <w:rsid w:val="00A113C9"/>
    <w:rsid w:val="00A12739"/>
    <w:rsid w:val="00A13164"/>
    <w:rsid w:val="00A13F58"/>
    <w:rsid w:val="00A1738C"/>
    <w:rsid w:val="00A2023D"/>
    <w:rsid w:val="00A2549B"/>
    <w:rsid w:val="00A257DE"/>
    <w:rsid w:val="00A2643E"/>
    <w:rsid w:val="00A26490"/>
    <w:rsid w:val="00A33949"/>
    <w:rsid w:val="00A35F71"/>
    <w:rsid w:val="00A37966"/>
    <w:rsid w:val="00A40156"/>
    <w:rsid w:val="00A4346E"/>
    <w:rsid w:val="00A43CAD"/>
    <w:rsid w:val="00A45FEC"/>
    <w:rsid w:val="00A474FE"/>
    <w:rsid w:val="00A5329A"/>
    <w:rsid w:val="00A55788"/>
    <w:rsid w:val="00A56C17"/>
    <w:rsid w:val="00A573C1"/>
    <w:rsid w:val="00A66DAA"/>
    <w:rsid w:val="00A70FAF"/>
    <w:rsid w:val="00A73055"/>
    <w:rsid w:val="00A74DD7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5FA"/>
    <w:rsid w:val="00AB5749"/>
    <w:rsid w:val="00AC1554"/>
    <w:rsid w:val="00AC20EC"/>
    <w:rsid w:val="00AC2DB7"/>
    <w:rsid w:val="00AC35C4"/>
    <w:rsid w:val="00AC5416"/>
    <w:rsid w:val="00AC7F62"/>
    <w:rsid w:val="00AD2B07"/>
    <w:rsid w:val="00AD3314"/>
    <w:rsid w:val="00AD3C85"/>
    <w:rsid w:val="00AD7084"/>
    <w:rsid w:val="00AE2236"/>
    <w:rsid w:val="00AE3677"/>
    <w:rsid w:val="00AE5F9D"/>
    <w:rsid w:val="00AF29C4"/>
    <w:rsid w:val="00AF7C81"/>
    <w:rsid w:val="00B00419"/>
    <w:rsid w:val="00B04288"/>
    <w:rsid w:val="00B054FA"/>
    <w:rsid w:val="00B06065"/>
    <w:rsid w:val="00B06A09"/>
    <w:rsid w:val="00B07A3E"/>
    <w:rsid w:val="00B11C22"/>
    <w:rsid w:val="00B1248A"/>
    <w:rsid w:val="00B138CE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209E"/>
    <w:rsid w:val="00B5382A"/>
    <w:rsid w:val="00B5505F"/>
    <w:rsid w:val="00B56735"/>
    <w:rsid w:val="00B6309D"/>
    <w:rsid w:val="00B63389"/>
    <w:rsid w:val="00B63B33"/>
    <w:rsid w:val="00B64478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BC3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07EE1"/>
    <w:rsid w:val="00C11FDC"/>
    <w:rsid w:val="00C1237E"/>
    <w:rsid w:val="00C12785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22D3"/>
    <w:rsid w:val="00C72686"/>
    <w:rsid w:val="00C74B87"/>
    <w:rsid w:val="00C74DF1"/>
    <w:rsid w:val="00C75A98"/>
    <w:rsid w:val="00C774F0"/>
    <w:rsid w:val="00C7768C"/>
    <w:rsid w:val="00C80BBE"/>
    <w:rsid w:val="00C84053"/>
    <w:rsid w:val="00C8525B"/>
    <w:rsid w:val="00C8701B"/>
    <w:rsid w:val="00C933DE"/>
    <w:rsid w:val="00C957BF"/>
    <w:rsid w:val="00C96692"/>
    <w:rsid w:val="00CA20FE"/>
    <w:rsid w:val="00CA6221"/>
    <w:rsid w:val="00CA64B7"/>
    <w:rsid w:val="00CB0360"/>
    <w:rsid w:val="00CB0F30"/>
    <w:rsid w:val="00CB15A8"/>
    <w:rsid w:val="00CB3262"/>
    <w:rsid w:val="00CC3C6C"/>
    <w:rsid w:val="00CD21E8"/>
    <w:rsid w:val="00CD3179"/>
    <w:rsid w:val="00CD4F82"/>
    <w:rsid w:val="00CD5512"/>
    <w:rsid w:val="00CD6160"/>
    <w:rsid w:val="00CD6741"/>
    <w:rsid w:val="00CD6CD5"/>
    <w:rsid w:val="00CE0DFE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7D24"/>
    <w:rsid w:val="00D10F86"/>
    <w:rsid w:val="00D16220"/>
    <w:rsid w:val="00D17DCB"/>
    <w:rsid w:val="00D25FA9"/>
    <w:rsid w:val="00D26124"/>
    <w:rsid w:val="00D30F55"/>
    <w:rsid w:val="00D32500"/>
    <w:rsid w:val="00D349F4"/>
    <w:rsid w:val="00D41718"/>
    <w:rsid w:val="00D43266"/>
    <w:rsid w:val="00D513E0"/>
    <w:rsid w:val="00D576C8"/>
    <w:rsid w:val="00D57901"/>
    <w:rsid w:val="00D6020C"/>
    <w:rsid w:val="00D62C89"/>
    <w:rsid w:val="00D63BBF"/>
    <w:rsid w:val="00D63E50"/>
    <w:rsid w:val="00D64DBE"/>
    <w:rsid w:val="00D65426"/>
    <w:rsid w:val="00D70DFE"/>
    <w:rsid w:val="00D733E8"/>
    <w:rsid w:val="00D75EC1"/>
    <w:rsid w:val="00D770C0"/>
    <w:rsid w:val="00D85313"/>
    <w:rsid w:val="00D867DC"/>
    <w:rsid w:val="00D944CC"/>
    <w:rsid w:val="00D95E47"/>
    <w:rsid w:val="00D97823"/>
    <w:rsid w:val="00DA2E8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4622"/>
    <w:rsid w:val="00DB5906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760C"/>
    <w:rsid w:val="00E607A4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0B3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2B2"/>
    <w:rsid w:val="00ED156A"/>
    <w:rsid w:val="00ED274F"/>
    <w:rsid w:val="00ED35DC"/>
    <w:rsid w:val="00ED67D2"/>
    <w:rsid w:val="00EE11F1"/>
    <w:rsid w:val="00EE329C"/>
    <w:rsid w:val="00EE3348"/>
    <w:rsid w:val="00EE5F37"/>
    <w:rsid w:val="00EF246E"/>
    <w:rsid w:val="00EF3B37"/>
    <w:rsid w:val="00EF7649"/>
    <w:rsid w:val="00EF7FD6"/>
    <w:rsid w:val="00F03F43"/>
    <w:rsid w:val="00F050A7"/>
    <w:rsid w:val="00F050D2"/>
    <w:rsid w:val="00F07B5C"/>
    <w:rsid w:val="00F10622"/>
    <w:rsid w:val="00F11C7E"/>
    <w:rsid w:val="00F13641"/>
    <w:rsid w:val="00F1475B"/>
    <w:rsid w:val="00F158CC"/>
    <w:rsid w:val="00F1644F"/>
    <w:rsid w:val="00F21F4F"/>
    <w:rsid w:val="00F23F26"/>
    <w:rsid w:val="00F26BF5"/>
    <w:rsid w:val="00F2764D"/>
    <w:rsid w:val="00F27712"/>
    <w:rsid w:val="00F339A0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E16"/>
    <w:rsid w:val="00F52F86"/>
    <w:rsid w:val="00F5337C"/>
    <w:rsid w:val="00F57E23"/>
    <w:rsid w:val="00F57F1B"/>
    <w:rsid w:val="00F624E8"/>
    <w:rsid w:val="00F63D80"/>
    <w:rsid w:val="00F645F2"/>
    <w:rsid w:val="00F64A44"/>
    <w:rsid w:val="00F66FD3"/>
    <w:rsid w:val="00F6716D"/>
    <w:rsid w:val="00F70075"/>
    <w:rsid w:val="00F728BC"/>
    <w:rsid w:val="00F7526B"/>
    <w:rsid w:val="00F76D09"/>
    <w:rsid w:val="00F810C5"/>
    <w:rsid w:val="00F83E96"/>
    <w:rsid w:val="00F849B0"/>
    <w:rsid w:val="00F90944"/>
    <w:rsid w:val="00F93170"/>
    <w:rsid w:val="00F93701"/>
    <w:rsid w:val="00F940A8"/>
    <w:rsid w:val="00F945D6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4378"/>
    <w:rsid w:val="00FB499E"/>
    <w:rsid w:val="00FC0528"/>
    <w:rsid w:val="00FC25BF"/>
    <w:rsid w:val="00FC2797"/>
    <w:rsid w:val="00FC3B86"/>
    <w:rsid w:val="00FC5481"/>
    <w:rsid w:val="00FC67DC"/>
    <w:rsid w:val="00FD1CCA"/>
    <w:rsid w:val="00FD4403"/>
    <w:rsid w:val="00FD4648"/>
    <w:rsid w:val="00FD4EFA"/>
    <w:rsid w:val="00FE12DC"/>
    <w:rsid w:val="00FE1B84"/>
    <w:rsid w:val="00FE2CAE"/>
    <w:rsid w:val="00FE39B2"/>
    <w:rsid w:val="00FE74E0"/>
    <w:rsid w:val="00FE7A29"/>
    <w:rsid w:val="00FF0898"/>
    <w:rsid w:val="00FF2FB6"/>
    <w:rsid w:val="00FF3CFE"/>
    <w:rsid w:val="00FF47DB"/>
    <w:rsid w:val="00FF4C85"/>
    <w:rsid w:val="00FF584D"/>
    <w:rsid w:val="00FF6546"/>
    <w:rsid w:val="00FF66FA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03B2A"/>
  <w15:docId w15:val="{0AE3A41C-2689-420A-8E05-9F4D239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  <w:style w:type="character" w:customStyle="1" w:styleId="rvts0">
    <w:name w:val="rvts0"/>
    <w:basedOn w:val="a0"/>
    <w:rsid w:val="00B64478"/>
  </w:style>
  <w:style w:type="character" w:customStyle="1" w:styleId="rvts15">
    <w:name w:val="rvts15"/>
    <w:basedOn w:val="a0"/>
    <w:rsid w:val="0099207A"/>
  </w:style>
  <w:style w:type="character" w:customStyle="1" w:styleId="rvts9">
    <w:name w:val="rvts9"/>
    <w:basedOn w:val="a0"/>
    <w:rsid w:val="0099207A"/>
  </w:style>
  <w:style w:type="paragraph" w:customStyle="1" w:styleId="rvps17">
    <w:name w:val="rvps1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9207A"/>
  </w:style>
  <w:style w:type="character" w:customStyle="1" w:styleId="rvts64">
    <w:name w:val="rvts64"/>
    <w:basedOn w:val="a0"/>
    <w:rsid w:val="0099207A"/>
  </w:style>
  <w:style w:type="paragraph" w:customStyle="1" w:styleId="rvps7">
    <w:name w:val="rvps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0E73A7"/>
    <w:rPr>
      <w:i/>
      <w:iCs/>
    </w:rPr>
  </w:style>
  <w:style w:type="paragraph" w:styleId="af2">
    <w:name w:val="Body Text"/>
    <w:basedOn w:val="a"/>
    <w:link w:val="af3"/>
    <w:rsid w:val="00806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82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57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E028-97EF-4540-AB85-646CD16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БРДО</dc:creator>
  <cp:lastModifiedBy>user</cp:lastModifiedBy>
  <cp:revision>3</cp:revision>
  <cp:lastPrinted>2020-09-09T13:50:00Z</cp:lastPrinted>
  <dcterms:created xsi:type="dcterms:W3CDTF">2020-09-09T13:38:00Z</dcterms:created>
  <dcterms:modified xsi:type="dcterms:W3CDTF">2020-09-09T13:50:00Z</dcterms:modified>
</cp:coreProperties>
</file>