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D" w:rsidRPr="00C11766" w:rsidRDefault="00150F2D" w:rsidP="00150F2D">
      <w:pPr>
        <w:jc w:val="center"/>
        <w:rPr>
          <w:b/>
        </w:rPr>
      </w:pPr>
      <w:r w:rsidRPr="00C11766">
        <w:rPr>
          <w:b/>
        </w:rPr>
        <w:t>Аналіз регуляторного впливу</w:t>
      </w:r>
    </w:p>
    <w:p w:rsidR="00150F2D" w:rsidRPr="00C11766" w:rsidRDefault="00150F2D" w:rsidP="00150F2D">
      <w:pPr>
        <w:contextualSpacing/>
        <w:jc w:val="center"/>
        <w:rPr>
          <w:b/>
          <w:bCs/>
          <w:szCs w:val="28"/>
        </w:rPr>
      </w:pPr>
      <w:r w:rsidRPr="00C11766">
        <w:rPr>
          <w:b/>
          <w:bCs/>
          <w:color w:val="000000"/>
          <w:szCs w:val="28"/>
          <w:bdr w:val="none" w:sz="0" w:space="0" w:color="auto" w:frame="1"/>
          <w:lang w:eastAsia="uk-UA"/>
        </w:rPr>
        <w:t xml:space="preserve">проекту </w:t>
      </w:r>
      <w:r>
        <w:rPr>
          <w:b/>
          <w:bCs/>
          <w:szCs w:val="28"/>
        </w:rPr>
        <w:t>наказу</w:t>
      </w:r>
      <w:r w:rsidR="006452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Міністерства внутрішніх справ</w:t>
      </w:r>
      <w:r w:rsidRPr="00C11766">
        <w:rPr>
          <w:b/>
          <w:bCs/>
          <w:szCs w:val="28"/>
        </w:rPr>
        <w:t xml:space="preserve"> України</w:t>
      </w:r>
    </w:p>
    <w:p w:rsidR="00150F2D" w:rsidRPr="00BC6E76" w:rsidRDefault="00150F2D" w:rsidP="00150F2D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C6E76">
        <w:rPr>
          <w:b/>
          <w:sz w:val="28"/>
          <w:szCs w:val="28"/>
          <w:lang w:val="uk-UA"/>
        </w:rPr>
        <w:t>«Про затвердження Змін до Інструкції про порядок організації та контролю за підготовкою, перепідготовкою та підвищенням кваліфікації водіїв транспортних засобів»</w:t>
      </w:r>
    </w:p>
    <w:p w:rsidR="00150F2D" w:rsidRPr="00BC6E76" w:rsidRDefault="00150F2D" w:rsidP="00150F2D">
      <w:pPr>
        <w:rPr>
          <w:b/>
          <w:bCs/>
          <w:szCs w:val="28"/>
        </w:rPr>
      </w:pPr>
    </w:p>
    <w:p w:rsidR="00150F2D" w:rsidRPr="00C11766" w:rsidRDefault="00150F2D" w:rsidP="00150F2D">
      <w:pPr>
        <w:ind w:firstLine="851"/>
        <w:jc w:val="center"/>
        <w:rPr>
          <w:b/>
          <w:bCs/>
          <w:szCs w:val="28"/>
        </w:rPr>
      </w:pPr>
      <w:r w:rsidRPr="00C11766">
        <w:rPr>
          <w:b/>
          <w:bCs/>
          <w:szCs w:val="28"/>
        </w:rPr>
        <w:t>І. Визначення проблеми</w:t>
      </w:r>
    </w:p>
    <w:p w:rsidR="00150F2D" w:rsidRPr="00C11766" w:rsidRDefault="00150F2D" w:rsidP="00150F2D">
      <w:pPr>
        <w:ind w:firstLine="709"/>
        <w:contextualSpacing/>
        <w:jc w:val="both"/>
        <w:rPr>
          <w:szCs w:val="28"/>
        </w:rPr>
      </w:pPr>
    </w:p>
    <w:p w:rsidR="00150F2D" w:rsidRPr="007D3C38" w:rsidRDefault="00150F2D" w:rsidP="00150F2D">
      <w:pPr>
        <w:ind w:firstLine="851"/>
        <w:jc w:val="both"/>
        <w:rPr>
          <w:szCs w:val="28"/>
          <w:shd w:val="clear" w:color="auto" w:fill="FFFFFF"/>
        </w:rPr>
      </w:pPr>
      <w:r w:rsidRPr="00C63CD4">
        <w:rPr>
          <w:szCs w:val="28"/>
          <w:shd w:val="clear" w:color="auto" w:fill="FFFFFF"/>
        </w:rPr>
        <w:t xml:space="preserve">Відповідно до Закону України «Про засади державної регуляторної політики у сфері господарської діяльності» Державною регуляторною службою України прийнято рішення від 19 грудня 2016 року № 9 «Про необхідність усунення Міністерством внутрішніх справ України порушень принципів державної регуляторної політики згідно з вимогами Закону України «Про засади державної регуляторної політики у сфері господарської діяльності», шляхом внесення змін до </w:t>
      </w:r>
      <w:r w:rsidR="002C0493" w:rsidRPr="00C63CD4">
        <w:rPr>
          <w:szCs w:val="28"/>
          <w:shd w:val="clear" w:color="auto" w:fill="FFFFFF"/>
        </w:rPr>
        <w:t>Інструкції про порядок організації та контролю за підготовкою, перепідготовкою та підвищенням кваліфікації водіїв транспортних засобів</w:t>
      </w:r>
      <w:r w:rsidR="002C0493">
        <w:rPr>
          <w:szCs w:val="28"/>
          <w:shd w:val="clear" w:color="auto" w:fill="FFFFFF"/>
        </w:rPr>
        <w:t>, затвердженої</w:t>
      </w:r>
      <w:r w:rsidR="0026228D">
        <w:rPr>
          <w:szCs w:val="28"/>
          <w:shd w:val="clear" w:color="auto" w:fill="FFFFFF"/>
        </w:rPr>
        <w:t xml:space="preserve"> </w:t>
      </w:r>
      <w:r w:rsidRPr="00C63CD4">
        <w:rPr>
          <w:szCs w:val="28"/>
          <w:shd w:val="clear" w:color="auto" w:fill="FFFFFF"/>
        </w:rPr>
        <w:t>наказ</w:t>
      </w:r>
      <w:r w:rsidR="002C0493">
        <w:rPr>
          <w:szCs w:val="28"/>
          <w:shd w:val="clear" w:color="auto" w:fill="FFFFFF"/>
        </w:rPr>
        <w:t>ом</w:t>
      </w:r>
      <w:r w:rsidRPr="00C63CD4">
        <w:rPr>
          <w:szCs w:val="28"/>
          <w:shd w:val="clear" w:color="auto" w:fill="FFFFFF"/>
        </w:rPr>
        <w:t xml:space="preserve"> Міністерства внутрішніх справ України від 17 грудня 2009 року № 515 «Про затвердження деяких </w:t>
      </w:r>
      <w:r w:rsidR="00645257">
        <w:rPr>
          <w:szCs w:val="28"/>
          <w:shd w:val="clear" w:color="auto" w:fill="FFFFFF"/>
        </w:rPr>
        <w:t xml:space="preserve">               </w:t>
      </w:r>
      <w:r w:rsidRPr="00C63CD4">
        <w:rPr>
          <w:szCs w:val="28"/>
          <w:shd w:val="clear" w:color="auto" w:fill="FFFFFF"/>
        </w:rPr>
        <w:t>нормативно-правових актів, що регламентують порядок підготовки, перепідготовки і підвищення кваліфікації водіїв транспортних засобів у закладах, що проводять таку діяльність, їх державну акредитацію та атестацію спеціалістів, а також допуску громадян до керування транспортними засобами, видачі (обміну) посвідчень водія», зареєстрован</w:t>
      </w:r>
      <w:r w:rsidR="002C0493">
        <w:rPr>
          <w:szCs w:val="28"/>
          <w:shd w:val="clear" w:color="auto" w:fill="FFFFFF"/>
        </w:rPr>
        <w:t>им</w:t>
      </w:r>
      <w:r w:rsidRPr="00C63CD4">
        <w:rPr>
          <w:szCs w:val="28"/>
          <w:shd w:val="clear" w:color="auto" w:fill="FFFFFF"/>
        </w:rPr>
        <w:t xml:space="preserve"> у Міністерстві юстиції України 22 січня 2010 року за № 72/17367</w:t>
      </w:r>
      <w:r w:rsidR="002C0493">
        <w:rPr>
          <w:szCs w:val="28"/>
          <w:shd w:val="clear" w:color="auto" w:fill="FFFFFF"/>
        </w:rPr>
        <w:t xml:space="preserve"> (далі – Інструкція)</w:t>
      </w:r>
      <w:r w:rsidR="00E66E3E">
        <w:rPr>
          <w:szCs w:val="28"/>
          <w:shd w:val="clear" w:color="auto" w:fill="FFFFFF"/>
        </w:rPr>
        <w:t>. А саме</w:t>
      </w:r>
      <w:r w:rsidRPr="00C63CD4">
        <w:rPr>
          <w:szCs w:val="28"/>
          <w:shd w:val="clear" w:color="auto" w:fill="FFFFFF"/>
        </w:rPr>
        <w:t xml:space="preserve"> виключення пунктів 26-37 Інструкції в частині встановлення вимог щодо одноосібного права орган</w:t>
      </w:r>
      <w:r w:rsidR="00E66E3E">
        <w:rPr>
          <w:szCs w:val="28"/>
          <w:shd w:val="clear" w:color="auto" w:fill="FFFFFF"/>
        </w:rPr>
        <w:t>ів</w:t>
      </w:r>
      <w:r w:rsidRPr="00C63CD4">
        <w:rPr>
          <w:szCs w:val="28"/>
          <w:shd w:val="clear" w:color="auto" w:fill="FFFFFF"/>
        </w:rPr>
        <w:t xml:space="preserve"> з надання сервісних послуг МВС </w:t>
      </w:r>
      <w:r w:rsidR="00E66E3E">
        <w:rPr>
          <w:szCs w:val="28"/>
          <w:shd w:val="clear" w:color="auto" w:fill="FFFFFF"/>
        </w:rPr>
        <w:t>на видачу</w:t>
      </w:r>
      <w:r w:rsidRPr="00C63CD4">
        <w:rPr>
          <w:szCs w:val="28"/>
          <w:shd w:val="clear" w:color="auto" w:fill="FFFFFF"/>
        </w:rPr>
        <w:t xml:space="preserve">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використанням, оскільки зазначені положення не відповідають вимогам чинного законодавства та принципам державної регуляторної політики. </w:t>
      </w:r>
    </w:p>
    <w:p w:rsidR="00BF1958" w:rsidRPr="007D3C38" w:rsidRDefault="00BF1958" w:rsidP="00150F2D">
      <w:pPr>
        <w:ind w:firstLine="851"/>
        <w:jc w:val="both"/>
        <w:rPr>
          <w:szCs w:val="28"/>
        </w:rPr>
      </w:pPr>
    </w:p>
    <w:p w:rsidR="00BF1958" w:rsidRPr="00C11766" w:rsidRDefault="00BF1958" w:rsidP="00BF1958">
      <w:pPr>
        <w:ind w:firstLine="851"/>
        <w:jc w:val="both"/>
        <w:rPr>
          <w:szCs w:val="28"/>
        </w:rPr>
      </w:pPr>
      <w:r w:rsidRPr="00C11766">
        <w:rPr>
          <w:szCs w:val="28"/>
        </w:rPr>
        <w:t>Визначення основних груп (підгруп),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b/>
                <w:sz w:val="22"/>
                <w:szCs w:val="22"/>
              </w:rPr>
            </w:pPr>
            <w:r w:rsidRPr="00C11766">
              <w:rPr>
                <w:b/>
                <w:sz w:val="22"/>
                <w:szCs w:val="22"/>
              </w:rPr>
              <w:t>Групи (підгрупи)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b/>
                <w:sz w:val="22"/>
                <w:szCs w:val="22"/>
              </w:rPr>
            </w:pPr>
            <w:r w:rsidRPr="00C11766">
              <w:rPr>
                <w:b/>
                <w:sz w:val="22"/>
                <w:szCs w:val="22"/>
              </w:rPr>
              <w:t>Так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b/>
                <w:sz w:val="22"/>
                <w:szCs w:val="22"/>
              </w:rPr>
            </w:pPr>
            <w:r w:rsidRPr="00C11766">
              <w:rPr>
                <w:b/>
                <w:sz w:val="22"/>
                <w:szCs w:val="22"/>
              </w:rPr>
              <w:t>Ні</w:t>
            </w:r>
          </w:p>
        </w:tc>
      </w:tr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  <w:r w:rsidRPr="00C11766">
              <w:rPr>
                <w:szCs w:val="28"/>
              </w:rPr>
              <w:t>Громадяни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  <w:r w:rsidRPr="00C11766">
              <w:rPr>
                <w:szCs w:val="28"/>
              </w:rPr>
              <w:t>Ні</w:t>
            </w:r>
          </w:p>
        </w:tc>
      </w:tr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  <w:r w:rsidRPr="00C11766">
              <w:rPr>
                <w:szCs w:val="28"/>
              </w:rPr>
              <w:t>Держава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  <w:r w:rsidRPr="00C11766">
              <w:rPr>
                <w:szCs w:val="28"/>
              </w:rPr>
              <w:t>Так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</w:p>
        </w:tc>
      </w:tr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  <w:r w:rsidRPr="00C11766">
              <w:rPr>
                <w:szCs w:val="28"/>
              </w:rPr>
              <w:t>Суб’єкт господарювання, у тому числі суб’єкти малого підприємництва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  <w:r w:rsidRPr="00C11766">
              <w:rPr>
                <w:szCs w:val="28"/>
              </w:rPr>
              <w:t>Так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jc w:val="both"/>
              <w:rPr>
                <w:szCs w:val="28"/>
              </w:rPr>
            </w:pPr>
          </w:p>
        </w:tc>
      </w:tr>
    </w:tbl>
    <w:p w:rsidR="00150F2D" w:rsidRPr="00C11766" w:rsidRDefault="00150F2D" w:rsidP="00150F2D">
      <w:pPr>
        <w:ind w:firstLine="851"/>
        <w:jc w:val="center"/>
        <w:rPr>
          <w:b/>
          <w:bCs/>
          <w:color w:val="000000"/>
          <w:szCs w:val="28"/>
        </w:rPr>
      </w:pPr>
    </w:p>
    <w:p w:rsidR="00150F2D" w:rsidRPr="00C11766" w:rsidRDefault="00150F2D" w:rsidP="00150F2D">
      <w:pPr>
        <w:ind w:firstLine="851"/>
        <w:jc w:val="center"/>
        <w:rPr>
          <w:b/>
          <w:bCs/>
          <w:color w:val="000000"/>
          <w:szCs w:val="28"/>
        </w:rPr>
      </w:pPr>
      <w:r w:rsidRPr="00C11766">
        <w:rPr>
          <w:b/>
          <w:bCs/>
          <w:color w:val="000000"/>
          <w:szCs w:val="28"/>
        </w:rPr>
        <w:t>ІІ. Цілі державного регулювання</w:t>
      </w:r>
    </w:p>
    <w:p w:rsidR="00150F2D" w:rsidRPr="003F685E" w:rsidRDefault="00150F2D" w:rsidP="003F685E">
      <w:pPr>
        <w:ind w:firstLine="851"/>
        <w:jc w:val="both"/>
        <w:rPr>
          <w:b/>
          <w:bCs/>
          <w:color w:val="000000"/>
          <w:szCs w:val="28"/>
        </w:rPr>
      </w:pPr>
    </w:p>
    <w:p w:rsidR="00150F2D" w:rsidRPr="003F685E" w:rsidRDefault="00150F2D" w:rsidP="003F685E">
      <w:pPr>
        <w:pStyle w:val="HTML"/>
        <w:shd w:val="clear" w:color="auto" w:fill="FFFFFF"/>
        <w:jc w:val="both"/>
        <w:textAlignment w:val="baseline"/>
        <w:rPr>
          <w:sz w:val="21"/>
          <w:szCs w:val="21"/>
          <w:lang w:val="uk-UA" w:eastAsia="uk-UA"/>
        </w:rPr>
      </w:pPr>
      <w:r w:rsidRPr="003F685E">
        <w:rPr>
          <w:rFonts w:ascii="Times New Roman" w:hAnsi="Times New Roman" w:cs="Times New Roman"/>
          <w:sz w:val="28"/>
          <w:szCs w:val="28"/>
          <w:lang w:val="uk-UA"/>
        </w:rPr>
        <w:t xml:space="preserve">Проект наказу розроблено з метою приведення </w:t>
      </w:r>
      <w:r w:rsidR="002C0493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Інструкції</w:t>
      </w:r>
      <w:r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відповідність до вимог Закону України «Про засади державної регуляторної політики у сфері господарської діяльності»</w:t>
      </w:r>
      <w:r w:rsidR="002C0493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«Про дорожній рух»</w:t>
      </w:r>
      <w:r w:rsidR="006452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36D09" w:rsidRPr="003F6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постанов </w:t>
      </w:r>
      <w:r w:rsidR="00C36D09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Кабінету Міністрів України від 08 травня 1993 року № 340 «Про затвердження Положення про </w:t>
      </w:r>
      <w:r w:rsidR="00C36D09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порядок видачі посвідчень водія та допуску громадян до керування</w:t>
      </w:r>
      <w:r w:rsidR="006452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36D09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транспортними засобами»,</w:t>
      </w:r>
      <w:r w:rsidR="006452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685E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20 травня 2009 року № 487 «</w:t>
      </w:r>
      <w:r w:rsidR="003F685E" w:rsidRP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Порядку підготовки, перепідготовки і підвищення кваліфікації </w:t>
      </w:r>
      <w:r w:rsidR="003F685E" w:rsidRP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br/>
        <w:t>водіїв транспортних засобів</w:t>
      </w:r>
      <w:r w:rsid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», від 20 травня 2009 року № 4</w:t>
      </w:r>
      <w:r w:rsidR="003F685E" w:rsidRP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90 «</w:t>
      </w:r>
      <w:r w:rsid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Порядку державної </w:t>
      </w:r>
      <w:r w:rsidR="003F685E" w:rsidRP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акредитації закл</w:t>
      </w:r>
      <w:r w:rsid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адів, що проводять підготовку, </w:t>
      </w:r>
      <w:r w:rsidR="003F685E" w:rsidRP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перепідгот</w:t>
      </w:r>
      <w:r w:rsid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овку і підвищення кваліфікації водіїв транспортних засобів, </w:t>
      </w:r>
      <w:r w:rsidR="003F685E" w:rsidRPr="003F68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та атестації їх спеціалістів»,</w:t>
      </w:r>
      <w:r w:rsidR="00C36D09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також з метою </w:t>
      </w:r>
      <w:r w:rsidR="00C7078C" w:rsidRPr="003F6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спрощення</w:t>
      </w:r>
      <w:r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механізму державного регулювання щодо процедури видачі бланків свідоцтв</w:t>
      </w:r>
      <w:r w:rsidR="00C7078C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шляхом виключення одноосібного права орган</w:t>
      </w:r>
      <w:r w:rsidR="00E66E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C7078C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надання сервісних послуг МВС </w:t>
      </w:r>
      <w:r w:rsidR="00E66E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видачу</w:t>
      </w:r>
      <w:r w:rsidR="00C7078C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таких бланків свідоцтв</w:t>
      </w:r>
      <w:r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E66E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7078C"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досконалення</w:t>
      </w:r>
      <w:r w:rsidRPr="003F6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 за їх використанням органами з надання сервісних послуг МВС.</w:t>
      </w:r>
    </w:p>
    <w:p w:rsidR="00BF1958" w:rsidRPr="007D3C38" w:rsidRDefault="00BF1958" w:rsidP="00150F2D">
      <w:pPr>
        <w:ind w:firstLine="709"/>
        <w:contextualSpacing/>
        <w:jc w:val="both"/>
        <w:rPr>
          <w:szCs w:val="28"/>
          <w:shd w:val="clear" w:color="auto" w:fill="FFFFFF"/>
        </w:rPr>
      </w:pPr>
    </w:p>
    <w:p w:rsidR="00BF1958" w:rsidRPr="00C11766" w:rsidRDefault="00BF1958" w:rsidP="00BF1958">
      <w:pPr>
        <w:pStyle w:val="a3"/>
        <w:jc w:val="center"/>
        <w:rPr>
          <w:b/>
          <w:szCs w:val="28"/>
        </w:rPr>
      </w:pPr>
      <w:r w:rsidRPr="00C11766">
        <w:rPr>
          <w:b/>
          <w:szCs w:val="28"/>
        </w:rPr>
        <w:t>ІІІ. Визначення та оцінка альтернативних способів досягнення цілей</w:t>
      </w:r>
    </w:p>
    <w:p w:rsidR="00BF1958" w:rsidRPr="00C11766" w:rsidRDefault="00BF1958" w:rsidP="00BF1958">
      <w:pPr>
        <w:pStyle w:val="a3"/>
        <w:jc w:val="center"/>
        <w:rPr>
          <w:b/>
          <w:szCs w:val="28"/>
        </w:rPr>
      </w:pPr>
    </w:p>
    <w:p w:rsidR="00BF1958" w:rsidRDefault="00BF1958" w:rsidP="00E66E3E">
      <w:pPr>
        <w:pStyle w:val="a3"/>
        <w:numPr>
          <w:ilvl w:val="0"/>
          <w:numId w:val="1"/>
        </w:numPr>
        <w:rPr>
          <w:szCs w:val="28"/>
        </w:rPr>
      </w:pPr>
      <w:r w:rsidRPr="00C11766">
        <w:rPr>
          <w:szCs w:val="28"/>
        </w:rPr>
        <w:t>Визначення альтернативних способів</w:t>
      </w:r>
    </w:p>
    <w:p w:rsidR="00E66E3E" w:rsidRPr="00E66E3E" w:rsidRDefault="00E66E3E" w:rsidP="00E66E3E">
      <w:pPr>
        <w:pStyle w:val="a3"/>
        <w:ind w:left="1211" w:firstLine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71"/>
      </w:tblGrid>
      <w:tr w:rsidR="00BF1958" w:rsidRPr="00C11766" w:rsidTr="00B317E9">
        <w:trPr>
          <w:tblHeader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C11766">
              <w:rPr>
                <w:b/>
                <w:bCs/>
                <w:szCs w:val="28"/>
              </w:rPr>
              <w:t>Вид альтернативи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 w:firstLine="58"/>
              <w:jc w:val="center"/>
              <w:rPr>
                <w:b/>
                <w:bCs/>
                <w:szCs w:val="28"/>
              </w:rPr>
            </w:pPr>
            <w:r w:rsidRPr="00C11766">
              <w:rPr>
                <w:b/>
                <w:bCs/>
                <w:szCs w:val="28"/>
              </w:rPr>
              <w:t>Опис альтернативи</w:t>
            </w:r>
          </w:p>
        </w:tc>
      </w:tr>
      <w:tr w:rsidR="00BF1958" w:rsidRPr="00C11766" w:rsidTr="00B317E9">
        <w:trPr>
          <w:trHeight w:val="1038"/>
        </w:trPr>
        <w:tc>
          <w:tcPr>
            <w:tcW w:w="2268" w:type="dxa"/>
            <w:tcBorders>
              <w:top w:val="double" w:sz="4" w:space="0" w:color="auto"/>
            </w:tcBorders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BF1958" w:rsidRPr="00C11766" w:rsidRDefault="00BF1958" w:rsidP="00B317E9">
            <w:pPr>
              <w:shd w:val="clear" w:color="auto" w:fill="FFFFFF"/>
              <w:tabs>
                <w:tab w:val="left" w:pos="974"/>
              </w:tabs>
              <w:ind w:firstLine="550"/>
              <w:jc w:val="both"/>
              <w:rPr>
                <w:rStyle w:val="rvts0"/>
              </w:rPr>
            </w:pPr>
            <w:r>
              <w:rPr>
                <w:szCs w:val="28"/>
                <w:shd w:val="clear" w:color="auto" w:fill="FFFFFF"/>
              </w:rPr>
              <w:t>П</w:t>
            </w:r>
            <w:r w:rsidRPr="00C63CD4">
              <w:rPr>
                <w:szCs w:val="28"/>
                <w:shd w:val="clear" w:color="auto" w:fill="FFFFFF"/>
              </w:rPr>
              <w:t>ункт</w:t>
            </w:r>
            <w:r>
              <w:rPr>
                <w:szCs w:val="28"/>
                <w:shd w:val="clear" w:color="auto" w:fill="FFFFFF"/>
              </w:rPr>
              <w:t>ами</w:t>
            </w:r>
            <w:r w:rsidRPr="00C63CD4">
              <w:rPr>
                <w:szCs w:val="28"/>
                <w:shd w:val="clear" w:color="auto" w:fill="FFFFFF"/>
              </w:rPr>
              <w:t xml:space="preserve"> 26-37 Інструкції </w:t>
            </w:r>
            <w:r w:rsidR="005F418E" w:rsidRPr="00C63CD4">
              <w:rPr>
                <w:szCs w:val="28"/>
                <w:shd w:val="clear" w:color="auto" w:fill="FFFFFF"/>
              </w:rPr>
              <w:t>встановл</w:t>
            </w:r>
            <w:r w:rsidR="005F418E">
              <w:rPr>
                <w:szCs w:val="28"/>
                <w:shd w:val="clear" w:color="auto" w:fill="FFFFFF"/>
              </w:rPr>
              <w:t>юються</w:t>
            </w:r>
            <w:r w:rsidR="005F418E" w:rsidRPr="00C63CD4">
              <w:rPr>
                <w:szCs w:val="28"/>
                <w:shd w:val="clear" w:color="auto" w:fill="FFFFFF"/>
              </w:rPr>
              <w:t xml:space="preserve"> вимог</w:t>
            </w:r>
            <w:r w:rsidR="005F418E">
              <w:rPr>
                <w:szCs w:val="28"/>
                <w:shd w:val="clear" w:color="auto" w:fill="FFFFFF"/>
              </w:rPr>
              <w:t>и</w:t>
            </w:r>
            <w:r w:rsidR="005F418E" w:rsidRPr="00C63CD4">
              <w:rPr>
                <w:szCs w:val="28"/>
                <w:shd w:val="clear" w:color="auto" w:fill="FFFFFF"/>
              </w:rPr>
              <w:t xml:space="preserve"> щодо 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</w:t>
            </w:r>
            <w:r w:rsidRPr="00C11766">
              <w:rPr>
                <w:rStyle w:val="rvts0"/>
              </w:rPr>
              <w:t>.</w:t>
            </w:r>
          </w:p>
          <w:p w:rsidR="005F418E" w:rsidRPr="005F418E" w:rsidRDefault="00E66E3E" w:rsidP="00C36D09">
            <w:pPr>
              <w:ind w:firstLine="601"/>
              <w:jc w:val="both"/>
              <w:rPr>
                <w:szCs w:val="28"/>
                <w:shd w:val="clear" w:color="auto" w:fill="FFFFFF"/>
                <w:lang w:val="ru-RU"/>
              </w:rPr>
            </w:pPr>
            <w:r>
              <w:rPr>
                <w:rStyle w:val="rvts0"/>
              </w:rPr>
              <w:t>Разом з тим</w:t>
            </w:r>
            <w:r w:rsidR="00645257">
              <w:rPr>
                <w:rStyle w:val="rvts0"/>
              </w:rPr>
              <w:t xml:space="preserve"> </w:t>
            </w:r>
            <w:r w:rsidR="005F418E" w:rsidRPr="00C63CD4">
              <w:rPr>
                <w:szCs w:val="28"/>
                <w:shd w:val="clear" w:color="auto" w:fill="FFFFFF"/>
              </w:rPr>
              <w:t xml:space="preserve">зазначені положення не відповідають вимогам чинного законодавства та принципам державної регуляторної політики. </w:t>
            </w:r>
          </w:p>
          <w:p w:rsidR="00BF1958" w:rsidRPr="00C11766" w:rsidRDefault="00E66E3E" w:rsidP="00C36D09">
            <w:pPr>
              <w:shd w:val="clear" w:color="auto" w:fill="FFFFFF"/>
              <w:tabs>
                <w:tab w:val="left" w:pos="974"/>
              </w:tabs>
              <w:ind w:firstLine="55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Отже</w:t>
            </w:r>
            <w:r w:rsidR="00BF1958" w:rsidRPr="00C11766">
              <w:rPr>
                <w:szCs w:val="28"/>
              </w:rPr>
              <w:t xml:space="preserve">, збереження чинної редакції </w:t>
            </w:r>
            <w:r w:rsidR="00C36D09">
              <w:rPr>
                <w:szCs w:val="28"/>
              </w:rPr>
              <w:t>Інструкції</w:t>
            </w:r>
            <w:r w:rsidR="00645257">
              <w:rPr>
                <w:szCs w:val="28"/>
              </w:rPr>
              <w:t xml:space="preserve"> </w:t>
            </w:r>
            <w:r w:rsidR="00BF1958" w:rsidRPr="00C11766">
              <w:rPr>
                <w:szCs w:val="28"/>
              </w:rPr>
              <w:t>є неприйнятним</w:t>
            </w:r>
            <w:r w:rsidR="00C36D09">
              <w:rPr>
                <w:szCs w:val="28"/>
              </w:rPr>
              <w:t>.</w:t>
            </w:r>
          </w:p>
        </w:tc>
      </w:tr>
      <w:tr w:rsidR="00BF1958" w:rsidRPr="00C11766" w:rsidTr="00B317E9">
        <w:trPr>
          <w:trHeight w:val="556"/>
        </w:trPr>
        <w:tc>
          <w:tcPr>
            <w:tcW w:w="2268" w:type="dxa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Обраний спосіб</w:t>
            </w:r>
          </w:p>
        </w:tc>
        <w:tc>
          <w:tcPr>
            <w:tcW w:w="7371" w:type="dxa"/>
          </w:tcPr>
          <w:p w:rsidR="00C36D09" w:rsidRDefault="00BF1958" w:rsidP="00C36D09">
            <w:pPr>
              <w:ind w:firstLine="601"/>
              <w:contextualSpacing/>
              <w:jc w:val="both"/>
              <w:rPr>
                <w:szCs w:val="28"/>
                <w:shd w:val="clear" w:color="auto" w:fill="FFFFFF"/>
              </w:rPr>
            </w:pPr>
            <w:r w:rsidRPr="00C11766">
              <w:rPr>
                <w:szCs w:val="28"/>
              </w:rPr>
              <w:t xml:space="preserve">Прийняття </w:t>
            </w:r>
            <w:r>
              <w:rPr>
                <w:szCs w:val="28"/>
              </w:rPr>
              <w:t xml:space="preserve">регуляторного </w:t>
            </w:r>
            <w:r w:rsidRPr="00C11766">
              <w:rPr>
                <w:szCs w:val="28"/>
              </w:rPr>
              <w:t xml:space="preserve">акта </w:t>
            </w:r>
            <w:r w:rsidR="00E66E3E">
              <w:rPr>
                <w:szCs w:val="28"/>
                <w:shd w:val="clear" w:color="auto" w:fill="FFFFFF"/>
              </w:rPr>
              <w:t>в</w:t>
            </w:r>
            <w:r w:rsidR="00C36D09">
              <w:rPr>
                <w:szCs w:val="28"/>
                <w:shd w:val="clear" w:color="auto" w:fill="FFFFFF"/>
              </w:rPr>
              <w:t xml:space="preserve">досконалить  механізм державного регулювання щодо процедури видачі бланків свідоцтв </w:t>
            </w:r>
            <w:r w:rsidR="00C36D09" w:rsidRPr="00C63CD4">
              <w:rPr>
                <w:szCs w:val="28"/>
                <w:shd w:val="clear" w:color="auto" w:fill="FFFFFF"/>
              </w:rPr>
              <w:t>про закінчення закладу з підготовки, перепідготовки та підвищення кваліфікації водіїв</w:t>
            </w:r>
            <w:r w:rsidR="00C36D09">
              <w:rPr>
                <w:szCs w:val="28"/>
                <w:shd w:val="clear" w:color="auto" w:fill="FFFFFF"/>
              </w:rPr>
              <w:t xml:space="preserve"> та здійснення контролю за їх використанням органами з надання сервісних послуг МВС з дотриманням усіх принципів державної регуляторної політики. </w:t>
            </w:r>
          </w:p>
          <w:p w:rsidR="00BF1958" w:rsidRPr="00C11766" w:rsidRDefault="00C36D09" w:rsidP="00E66E3E">
            <w:pPr>
              <w:ind w:firstLine="601"/>
              <w:contextualSpacing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При цьому </w:t>
            </w:r>
            <w:r>
              <w:rPr>
                <w:szCs w:val="28"/>
              </w:rPr>
              <w:t>буде вирішено проблему</w:t>
            </w:r>
            <w:r w:rsidR="00BF1958" w:rsidRPr="00C11766">
              <w:rPr>
                <w:szCs w:val="28"/>
              </w:rPr>
              <w:t xml:space="preserve"> щодо </w:t>
            </w:r>
            <w:r w:rsidR="00BF1958" w:rsidRPr="00C63CD4">
              <w:rPr>
                <w:szCs w:val="28"/>
                <w:shd w:val="clear" w:color="auto" w:fill="FFFFFF"/>
              </w:rPr>
              <w:t>одноосібного права орган</w:t>
            </w:r>
            <w:r w:rsidR="00E66E3E">
              <w:rPr>
                <w:szCs w:val="28"/>
                <w:shd w:val="clear" w:color="auto" w:fill="FFFFFF"/>
              </w:rPr>
              <w:t>ів</w:t>
            </w:r>
            <w:r w:rsidR="00BF1958" w:rsidRPr="00C63CD4">
              <w:rPr>
                <w:szCs w:val="28"/>
                <w:shd w:val="clear" w:color="auto" w:fill="FFFFFF"/>
              </w:rPr>
              <w:t xml:space="preserve"> з надання сервісних послуг МВС </w:t>
            </w:r>
            <w:r w:rsidR="00E66E3E">
              <w:rPr>
                <w:szCs w:val="28"/>
                <w:shd w:val="clear" w:color="auto" w:fill="FFFFFF"/>
              </w:rPr>
              <w:t>на видачу</w:t>
            </w:r>
            <w:r w:rsidR="00BF1958" w:rsidRPr="00C63CD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таких </w:t>
            </w:r>
            <w:r w:rsidR="00BF1958" w:rsidRPr="00C63CD4">
              <w:rPr>
                <w:szCs w:val="28"/>
                <w:shd w:val="clear" w:color="auto" w:fill="FFFFFF"/>
              </w:rPr>
              <w:t>бланків свідоцтв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b/>
          <w:color w:val="000000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</w:rPr>
      </w:pPr>
      <w:r w:rsidRPr="00C11766">
        <w:rPr>
          <w:color w:val="000000"/>
        </w:rPr>
        <w:t>2. Оцінка вибраних альтернативних способів досягнення цілей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b/>
          <w:color w:val="000000"/>
        </w:rPr>
      </w:pPr>
    </w:p>
    <w:p w:rsidR="00BF1958" w:rsidRDefault="00BF1958" w:rsidP="00E66E3E">
      <w:pPr>
        <w:pStyle w:val="21"/>
        <w:spacing w:after="0" w:line="240" w:lineRule="auto"/>
        <w:ind w:firstLine="851"/>
        <w:jc w:val="both"/>
        <w:rPr>
          <w:color w:val="000000"/>
        </w:rPr>
      </w:pPr>
      <w:r w:rsidRPr="00C11766">
        <w:rPr>
          <w:color w:val="000000"/>
        </w:rPr>
        <w:t>Оцінка впливу на сферу інтересів держави</w:t>
      </w:r>
    </w:p>
    <w:p w:rsidR="00E66E3E" w:rsidRDefault="00E66E3E" w:rsidP="00E66E3E">
      <w:pPr>
        <w:pStyle w:val="21"/>
        <w:spacing w:after="0" w:line="240" w:lineRule="auto"/>
        <w:ind w:firstLine="851"/>
        <w:jc w:val="both"/>
        <w:rPr>
          <w:color w:val="000000"/>
        </w:rPr>
      </w:pPr>
    </w:p>
    <w:p w:rsidR="00E66E3E" w:rsidRPr="00E66E3E" w:rsidRDefault="00E66E3E" w:rsidP="00E66E3E">
      <w:pPr>
        <w:pStyle w:val="21"/>
        <w:spacing w:after="0" w:line="240" w:lineRule="auto"/>
        <w:ind w:firstLine="851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89"/>
        <w:gridCol w:w="3283"/>
      </w:tblGrid>
      <w:tr w:rsidR="00BF1958" w:rsidRPr="00C11766" w:rsidTr="00B317E9">
        <w:tc>
          <w:tcPr>
            <w:tcW w:w="237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lastRenderedPageBreak/>
              <w:t>Вид альтернативи</w:t>
            </w:r>
          </w:p>
        </w:tc>
        <w:tc>
          <w:tcPr>
            <w:tcW w:w="418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Вигоди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Витрати</w:t>
            </w:r>
          </w:p>
        </w:tc>
      </w:tr>
      <w:tr w:rsidR="00BF1958" w:rsidRPr="00C11766" w:rsidTr="00B317E9">
        <w:tc>
          <w:tcPr>
            <w:tcW w:w="2376" w:type="dxa"/>
            <w:shd w:val="clear" w:color="auto" w:fill="auto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4189" w:type="dxa"/>
            <w:shd w:val="clear" w:color="auto" w:fill="auto"/>
          </w:tcPr>
          <w:p w:rsidR="00BF1958" w:rsidRPr="003F685E" w:rsidRDefault="00BF1958" w:rsidP="003F685E">
            <w:pPr>
              <w:ind w:firstLine="601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C11766">
              <w:rPr>
                <w:color w:val="000000"/>
                <w:szCs w:val="28"/>
              </w:rPr>
              <w:t>Не передбачаються</w:t>
            </w:r>
            <w:r w:rsidR="00C7078C">
              <w:rPr>
                <w:color w:val="000000"/>
                <w:szCs w:val="28"/>
              </w:rPr>
              <w:t xml:space="preserve">, оскільки </w:t>
            </w:r>
            <w:r w:rsidR="00C7078C" w:rsidRPr="00C63CD4">
              <w:rPr>
                <w:szCs w:val="28"/>
                <w:shd w:val="clear" w:color="auto" w:fill="FFFFFF"/>
              </w:rPr>
              <w:t xml:space="preserve">зазначені положення не відповідають вимогам чинного законодавства та принципам державної регуляторної політики. 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035AB7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Не передбачаються</w:t>
            </w:r>
          </w:p>
        </w:tc>
      </w:tr>
      <w:tr w:rsidR="00BF1958" w:rsidRPr="00C11766" w:rsidTr="00B317E9">
        <w:tc>
          <w:tcPr>
            <w:tcW w:w="237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 w:rsidRPr="00C11766">
              <w:rPr>
                <w:bCs/>
                <w:szCs w:val="28"/>
              </w:rPr>
              <w:t>Обраний спосіб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BF1958" w:rsidRPr="00C7078C" w:rsidRDefault="00BF1958" w:rsidP="00E66E3E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  <w:r w:rsidRPr="00C11766">
              <w:t xml:space="preserve">Забезпечить </w:t>
            </w:r>
            <w:r w:rsidRPr="00C11766">
              <w:rPr>
                <w:szCs w:val="28"/>
              </w:rPr>
              <w:t>приведення</w:t>
            </w:r>
            <w:r w:rsidR="00035AB7">
              <w:rPr>
                <w:szCs w:val="28"/>
              </w:rPr>
              <w:t xml:space="preserve"> норм</w:t>
            </w:r>
            <w:r w:rsidR="00645257">
              <w:rPr>
                <w:szCs w:val="28"/>
              </w:rPr>
              <w:t xml:space="preserve"> </w:t>
            </w:r>
            <w:r w:rsidR="00035AB7" w:rsidRPr="00C63CD4">
              <w:rPr>
                <w:szCs w:val="28"/>
                <w:shd w:val="clear" w:color="auto" w:fill="FFFFFF"/>
              </w:rPr>
              <w:t>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</w:t>
            </w:r>
            <w:r w:rsidR="00035AB7">
              <w:rPr>
                <w:szCs w:val="28"/>
                <w:shd w:val="clear" w:color="auto" w:fill="FFFFFF"/>
              </w:rPr>
              <w:t xml:space="preserve"> у  </w:t>
            </w:r>
            <w:r w:rsidR="00035AB7" w:rsidRPr="00C63CD4">
              <w:rPr>
                <w:szCs w:val="28"/>
                <w:shd w:val="clear" w:color="auto" w:fill="FFFFFF"/>
              </w:rPr>
              <w:t>відповід</w:t>
            </w:r>
            <w:r w:rsidR="00035AB7">
              <w:rPr>
                <w:szCs w:val="28"/>
                <w:shd w:val="clear" w:color="auto" w:fill="FFFFFF"/>
              </w:rPr>
              <w:t>ність</w:t>
            </w:r>
            <w:r w:rsidR="00E66E3E">
              <w:rPr>
                <w:szCs w:val="28"/>
                <w:shd w:val="clear" w:color="auto" w:fill="FFFFFF"/>
              </w:rPr>
              <w:t xml:space="preserve"> до</w:t>
            </w:r>
            <w:r w:rsidR="00035AB7" w:rsidRPr="00C63CD4">
              <w:rPr>
                <w:szCs w:val="28"/>
                <w:shd w:val="clear" w:color="auto" w:fill="FFFFFF"/>
              </w:rPr>
              <w:t xml:space="preserve"> вимог чинного законодавства та принцип</w:t>
            </w:r>
            <w:r w:rsidR="00E66E3E">
              <w:rPr>
                <w:szCs w:val="28"/>
                <w:shd w:val="clear" w:color="auto" w:fill="FFFFFF"/>
              </w:rPr>
              <w:t>ів</w:t>
            </w:r>
            <w:r w:rsidR="00035AB7" w:rsidRPr="00C63CD4">
              <w:rPr>
                <w:szCs w:val="28"/>
                <w:shd w:val="clear" w:color="auto" w:fill="FFFFFF"/>
              </w:rPr>
              <w:t xml:space="preserve"> державної регуляторної політики.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Відсутні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  <w:r w:rsidRPr="00C11766">
        <w:rPr>
          <w:color w:val="000000"/>
          <w:szCs w:val="28"/>
        </w:rPr>
        <w:t>Оцінка впливу на сферу інтересів громадян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89"/>
        <w:gridCol w:w="3283"/>
      </w:tblGrid>
      <w:tr w:rsidR="00BF1958" w:rsidRPr="00C11766" w:rsidTr="00B317E9">
        <w:tc>
          <w:tcPr>
            <w:tcW w:w="237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Вид альтернативи</w:t>
            </w:r>
          </w:p>
        </w:tc>
        <w:tc>
          <w:tcPr>
            <w:tcW w:w="418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Вигоди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Витрати</w:t>
            </w:r>
          </w:p>
        </w:tc>
      </w:tr>
      <w:tr w:rsidR="00BF1958" w:rsidRPr="00C11766" w:rsidTr="00B317E9">
        <w:tc>
          <w:tcPr>
            <w:tcW w:w="2376" w:type="dxa"/>
            <w:shd w:val="clear" w:color="auto" w:fill="auto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418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Не передбачаються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Не передбачаються</w:t>
            </w:r>
          </w:p>
        </w:tc>
      </w:tr>
      <w:tr w:rsidR="00BF1958" w:rsidRPr="00C11766" w:rsidTr="00B317E9">
        <w:tc>
          <w:tcPr>
            <w:tcW w:w="237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 w:rsidRPr="00C11766">
              <w:rPr>
                <w:bCs/>
                <w:szCs w:val="28"/>
              </w:rPr>
              <w:t>Обраний спосіб</w:t>
            </w:r>
          </w:p>
        </w:tc>
        <w:tc>
          <w:tcPr>
            <w:tcW w:w="418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Не передбачаються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Не передбачаються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b/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  <w:r w:rsidRPr="00C11766">
        <w:rPr>
          <w:color w:val="000000"/>
          <w:szCs w:val="28"/>
        </w:rPr>
        <w:t xml:space="preserve">Оцінка впливу на сферу інтересів суб’єктів господарювання, задіяних у сфері підготовки, перепідготовки і підвищення кваліфікації водіїв транспортних засобів 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396"/>
        <w:gridCol w:w="1418"/>
        <w:gridCol w:w="1559"/>
        <w:gridCol w:w="1701"/>
        <w:gridCol w:w="1559"/>
      </w:tblGrid>
      <w:tr w:rsidR="00BF1958" w:rsidRPr="00C11766" w:rsidTr="00E66E3E">
        <w:tc>
          <w:tcPr>
            <w:tcW w:w="225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C11766">
              <w:rPr>
                <w:b/>
                <w:color w:val="000000"/>
                <w:szCs w:val="28"/>
              </w:rPr>
              <w:t>Показник</w:t>
            </w:r>
          </w:p>
        </w:tc>
        <w:tc>
          <w:tcPr>
            <w:tcW w:w="139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C11766">
              <w:rPr>
                <w:b/>
                <w:color w:val="000000"/>
                <w:szCs w:val="28"/>
              </w:rPr>
              <w:t>Великі</w:t>
            </w:r>
          </w:p>
        </w:tc>
        <w:tc>
          <w:tcPr>
            <w:tcW w:w="1418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Середні</w:t>
            </w:r>
          </w:p>
        </w:tc>
        <w:tc>
          <w:tcPr>
            <w:tcW w:w="155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proofErr w:type="spellStart"/>
            <w:r w:rsidRPr="00C11766">
              <w:rPr>
                <w:b/>
                <w:color w:val="000000"/>
                <w:szCs w:val="28"/>
                <w:lang w:val="ru-RU"/>
              </w:rPr>
              <w:t>Малі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proofErr w:type="spellStart"/>
            <w:r w:rsidRPr="00C11766">
              <w:rPr>
                <w:b/>
                <w:color w:val="000000"/>
                <w:szCs w:val="28"/>
                <w:lang w:val="ru-RU"/>
              </w:rPr>
              <w:t>Мікро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C11766">
              <w:rPr>
                <w:b/>
                <w:color w:val="000000"/>
                <w:szCs w:val="28"/>
                <w:lang w:val="ru-RU"/>
              </w:rPr>
              <w:t>Разом</w:t>
            </w:r>
          </w:p>
        </w:tc>
      </w:tr>
      <w:tr w:rsidR="00BF1958" w:rsidRPr="00C11766" w:rsidTr="00E66E3E">
        <w:tc>
          <w:tcPr>
            <w:tcW w:w="2256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58" w:rsidRPr="00645257" w:rsidRDefault="00C24E56" w:rsidP="00B317E9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645257">
              <w:rPr>
                <w:bCs/>
                <w:color w:val="000000" w:themeColor="text1"/>
                <w:szCs w:val="28"/>
              </w:rPr>
              <w:t>1584</w:t>
            </w:r>
          </w:p>
          <w:p w:rsidR="00BF1958" w:rsidRPr="00645257" w:rsidRDefault="00BF1958" w:rsidP="00B317E9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5257">
              <w:rPr>
                <w:bCs/>
                <w:color w:val="000000" w:themeColor="text1"/>
                <w:sz w:val="24"/>
                <w:szCs w:val="24"/>
              </w:rPr>
              <w:t>(які пройшли державну акредитацію та отримали сертифікат</w:t>
            </w:r>
            <w:r w:rsidR="003F685E" w:rsidRPr="00645257">
              <w:rPr>
                <w:bCs/>
                <w:color w:val="000000" w:themeColor="text1"/>
                <w:sz w:val="24"/>
                <w:szCs w:val="24"/>
              </w:rPr>
              <w:t xml:space="preserve"> станом на 15.02.2017</w:t>
            </w:r>
            <w:r w:rsidRPr="00645257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E56" w:rsidRPr="00645257" w:rsidRDefault="00C24E56" w:rsidP="00C24E56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645257">
              <w:rPr>
                <w:bCs/>
                <w:color w:val="000000" w:themeColor="text1"/>
                <w:szCs w:val="28"/>
              </w:rPr>
              <w:t>64</w:t>
            </w:r>
          </w:p>
          <w:p w:rsidR="00BF1958" w:rsidRPr="00645257" w:rsidRDefault="00C24E56" w:rsidP="00C24E56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645257">
              <w:rPr>
                <w:bCs/>
                <w:color w:val="000000" w:themeColor="text1"/>
                <w:sz w:val="24"/>
                <w:szCs w:val="24"/>
              </w:rPr>
              <w:t>(які пройшли державну акредитацію та отримали сертифікат станом на 15.02.2017)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58" w:rsidRPr="003F685E" w:rsidRDefault="003F685E" w:rsidP="00B317E9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Cs w:val="28"/>
                <w:vertAlign w:val="superscript"/>
              </w:rPr>
            </w:pPr>
            <w:r w:rsidRPr="003F685E">
              <w:rPr>
                <w:bCs/>
                <w:color w:val="000000" w:themeColor="text1"/>
                <w:szCs w:val="28"/>
              </w:rPr>
              <w:t>1648</w:t>
            </w:r>
          </w:p>
          <w:p w:rsidR="00BF1958" w:rsidRDefault="00BF1958" w:rsidP="00B317E9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11766">
              <w:rPr>
                <w:bCs/>
                <w:sz w:val="24"/>
                <w:szCs w:val="24"/>
              </w:rPr>
              <w:t>(які пройшли державну акредитацію та отримали сертифікат</w:t>
            </w:r>
            <w:r w:rsidR="00FE4069">
              <w:rPr>
                <w:bCs/>
                <w:sz w:val="24"/>
                <w:szCs w:val="24"/>
              </w:rPr>
              <w:t xml:space="preserve"> </w:t>
            </w:r>
            <w:r w:rsidR="003F685E">
              <w:rPr>
                <w:bCs/>
                <w:sz w:val="24"/>
                <w:szCs w:val="24"/>
              </w:rPr>
              <w:t>станом на 15.02.2017</w:t>
            </w:r>
            <w:r w:rsidRPr="00C11766">
              <w:rPr>
                <w:bCs/>
                <w:sz w:val="24"/>
                <w:szCs w:val="24"/>
              </w:rPr>
              <w:t>)</w:t>
            </w:r>
          </w:p>
          <w:p w:rsidR="00E66E3E" w:rsidRPr="00C11766" w:rsidRDefault="00E66E3E" w:rsidP="00B317E9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BF1958" w:rsidRPr="00C11766" w:rsidTr="00E66E3E">
        <w:tc>
          <w:tcPr>
            <w:tcW w:w="2256" w:type="dxa"/>
            <w:shd w:val="clear" w:color="auto" w:fill="auto"/>
          </w:tcPr>
          <w:p w:rsidR="00BF1958" w:rsidRPr="00C11766" w:rsidRDefault="00BF1958" w:rsidP="00E66E3E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lastRenderedPageBreak/>
              <w:t xml:space="preserve">Питома вага групи </w:t>
            </w:r>
            <w:r w:rsidR="00E66E3E">
              <w:rPr>
                <w:bCs/>
                <w:szCs w:val="28"/>
              </w:rPr>
              <w:t>в</w:t>
            </w:r>
            <w:r w:rsidRPr="00C11766">
              <w:rPr>
                <w:bCs/>
                <w:szCs w:val="28"/>
              </w:rPr>
              <w:t xml:space="preserve"> загальній кількості, відсотків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58" w:rsidRPr="00645257" w:rsidRDefault="00C24E56" w:rsidP="00B317E9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645257">
              <w:rPr>
                <w:bCs/>
                <w:color w:val="000000" w:themeColor="text1"/>
                <w:szCs w:val="28"/>
              </w:rPr>
              <w:t>96,1</w:t>
            </w:r>
            <w:r w:rsidR="00BF1958" w:rsidRPr="00645257">
              <w:rPr>
                <w:bCs/>
                <w:color w:val="000000" w:themeColor="text1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958" w:rsidRPr="00645257" w:rsidRDefault="00C24E56" w:rsidP="00B317E9">
            <w:pPr>
              <w:pStyle w:val="21"/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645257">
              <w:rPr>
                <w:bCs/>
                <w:color w:val="000000" w:themeColor="text1"/>
                <w:szCs w:val="28"/>
              </w:rPr>
              <w:t>3,9 %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100%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Вид альтернативи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Вигоди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Витрати</w:t>
            </w:r>
          </w:p>
        </w:tc>
      </w:tr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Відсутні</w:t>
            </w:r>
          </w:p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D50548" w:rsidRPr="00C11766" w:rsidRDefault="00D50548" w:rsidP="00D50548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Відсутні</w:t>
            </w:r>
          </w:p>
          <w:p w:rsidR="00BF1958" w:rsidRPr="00C11766" w:rsidRDefault="00BF1958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 w:rsidRPr="00C11766">
              <w:rPr>
                <w:bCs/>
                <w:szCs w:val="28"/>
              </w:rPr>
              <w:t>Обраний спосіб</w:t>
            </w:r>
          </w:p>
        </w:tc>
        <w:tc>
          <w:tcPr>
            <w:tcW w:w="3283" w:type="dxa"/>
            <w:shd w:val="clear" w:color="auto" w:fill="auto"/>
          </w:tcPr>
          <w:p w:rsidR="00E66E3E" w:rsidRDefault="00B23E82" w:rsidP="00E66E3E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  <w:r w:rsidRPr="0077569D">
              <w:t>Закладам з</w:t>
            </w:r>
            <w:r w:rsidR="00645257">
              <w:t xml:space="preserve"> 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підготовки, перепідготовки та підвищення кваліфікації водіїв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надається прав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о вільно обирати підприємство-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виробника для замовлення та подальшого виготовлення бланків відповідних свідоцтв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як того вимагає рішення</w:t>
            </w:r>
            <w:r w:rsid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</w:t>
            </w:r>
            <w:r w:rsidRPr="00C63CD4">
              <w:rPr>
                <w:szCs w:val="28"/>
                <w:shd w:val="clear" w:color="auto" w:fill="FFFFFF"/>
              </w:rPr>
              <w:t>Державно</w:t>
            </w:r>
            <w:r>
              <w:rPr>
                <w:szCs w:val="28"/>
                <w:shd w:val="clear" w:color="auto" w:fill="FFFFFF"/>
              </w:rPr>
              <w:t>ї</w:t>
            </w:r>
            <w:r w:rsidRPr="00C63CD4">
              <w:rPr>
                <w:szCs w:val="28"/>
                <w:shd w:val="clear" w:color="auto" w:fill="FFFFFF"/>
              </w:rPr>
              <w:t xml:space="preserve"> регуляторно</w:t>
            </w:r>
            <w:r>
              <w:rPr>
                <w:szCs w:val="28"/>
                <w:shd w:val="clear" w:color="auto" w:fill="FFFFFF"/>
              </w:rPr>
              <w:t>ї</w:t>
            </w:r>
            <w:r w:rsidRPr="00C63CD4">
              <w:rPr>
                <w:szCs w:val="28"/>
                <w:shd w:val="clear" w:color="auto" w:fill="FFFFFF"/>
              </w:rPr>
              <w:t xml:space="preserve"> служб</w:t>
            </w:r>
            <w:r>
              <w:rPr>
                <w:szCs w:val="28"/>
                <w:shd w:val="clear" w:color="auto" w:fill="FFFFFF"/>
              </w:rPr>
              <w:t>и</w:t>
            </w:r>
            <w:r w:rsidRPr="00C63CD4">
              <w:rPr>
                <w:szCs w:val="28"/>
                <w:shd w:val="clear" w:color="auto" w:fill="FFFFFF"/>
              </w:rPr>
              <w:t xml:space="preserve"> України від 19 грудня 2016 року № 9 «Про необхідність усунення Міністерством внутрішніх справ України порушень принципів державної регуляторної політики згідно з вимогами Закону України «Про засади державної регуляторної політики у сфері господарської діяльності»</w:t>
            </w:r>
            <w:r>
              <w:rPr>
                <w:szCs w:val="28"/>
                <w:shd w:val="clear" w:color="auto" w:fill="FFFFFF"/>
              </w:rPr>
              <w:t xml:space="preserve">. </w:t>
            </w:r>
          </w:p>
          <w:p w:rsidR="00BF1958" w:rsidRPr="002C0493" w:rsidRDefault="00E66E3E" w:rsidP="00E66E3E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</w:t>
            </w:r>
            <w:r w:rsidR="00B23E82" w:rsidRP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прощується 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також </w:t>
            </w:r>
            <w:r w:rsidR="00B23E82" w:rsidRP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процедура зді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йснення обліку бланків свідоцтв:</w:t>
            </w:r>
            <w:r w:rsidR="00B23E82" w:rsidRP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</w:t>
            </w:r>
            <w:r w:rsidR="00B23E82" w:rsidRPr="00CD4FF2">
              <w:rPr>
                <w:szCs w:val="28"/>
              </w:rPr>
              <w:t xml:space="preserve">внутрішній облік у закладі та контроль за використанням  </w:t>
            </w:r>
            <w:r w:rsidR="00B23E82">
              <w:rPr>
                <w:szCs w:val="28"/>
              </w:rPr>
              <w:t xml:space="preserve">відповідних </w:t>
            </w:r>
            <w:r w:rsidR="00B23E82" w:rsidRPr="00CD4FF2">
              <w:rPr>
                <w:szCs w:val="28"/>
              </w:rPr>
              <w:t xml:space="preserve">бланків здійснюється </w:t>
            </w:r>
            <w:r>
              <w:rPr>
                <w:szCs w:val="28"/>
              </w:rPr>
              <w:t>в</w:t>
            </w:r>
            <w:r w:rsidR="00B23E82" w:rsidRPr="00CD4FF2">
              <w:rPr>
                <w:szCs w:val="28"/>
              </w:rPr>
              <w:t xml:space="preserve"> довільній </w:t>
            </w:r>
            <w:r w:rsidR="00B23E82" w:rsidRPr="00CD4FF2">
              <w:rPr>
                <w:szCs w:val="28"/>
              </w:rPr>
              <w:lastRenderedPageBreak/>
              <w:t>формі</w:t>
            </w:r>
            <w:r w:rsidR="00B23E82">
              <w:rPr>
                <w:szCs w:val="28"/>
              </w:rPr>
              <w:t>.</w:t>
            </w:r>
            <w:r w:rsidR="00645257">
              <w:rPr>
                <w:szCs w:val="28"/>
              </w:rPr>
              <w:t xml:space="preserve"> </w:t>
            </w:r>
            <w:r>
              <w:t>У</w:t>
            </w:r>
            <w:r w:rsidR="00B23E82" w:rsidRPr="00B23E82">
              <w:t xml:space="preserve"> цілому прийняття акта </w:t>
            </w:r>
            <w:r w:rsidR="00B23E82">
              <w:t>з</w:t>
            </w:r>
            <w:r w:rsidR="00A13A17" w:rsidRPr="00C11766">
              <w:t xml:space="preserve">абезпечить </w:t>
            </w:r>
            <w:r w:rsidR="00A13A17" w:rsidRPr="00C11766">
              <w:rPr>
                <w:szCs w:val="28"/>
              </w:rPr>
              <w:t>приведення</w:t>
            </w:r>
            <w:r w:rsidR="00A13A17">
              <w:rPr>
                <w:szCs w:val="28"/>
              </w:rPr>
              <w:t xml:space="preserve"> норм</w:t>
            </w:r>
            <w:r w:rsidR="00645257">
              <w:rPr>
                <w:szCs w:val="28"/>
              </w:rPr>
              <w:t xml:space="preserve"> </w:t>
            </w:r>
            <w:r w:rsidR="00A13A17" w:rsidRPr="00C63CD4">
              <w:rPr>
                <w:szCs w:val="28"/>
                <w:shd w:val="clear" w:color="auto" w:fill="FFFFFF"/>
              </w:rPr>
              <w:t>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</w:t>
            </w:r>
            <w:r w:rsidR="00A13A17">
              <w:rPr>
                <w:szCs w:val="28"/>
                <w:shd w:val="clear" w:color="auto" w:fill="FFFFFF"/>
              </w:rPr>
              <w:t xml:space="preserve"> у  </w:t>
            </w:r>
            <w:r w:rsidR="00A13A17" w:rsidRPr="00C63CD4">
              <w:rPr>
                <w:szCs w:val="28"/>
                <w:shd w:val="clear" w:color="auto" w:fill="FFFFFF"/>
              </w:rPr>
              <w:t>відповід</w:t>
            </w:r>
            <w:r w:rsidR="00A13A17">
              <w:rPr>
                <w:szCs w:val="28"/>
                <w:shd w:val="clear" w:color="auto" w:fill="FFFFFF"/>
              </w:rPr>
              <w:t>ність</w:t>
            </w:r>
            <w:r w:rsidR="00A13A17" w:rsidRPr="00C63CD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до вимог</w:t>
            </w:r>
            <w:r w:rsidR="00A13A17" w:rsidRPr="00C63CD4">
              <w:rPr>
                <w:szCs w:val="28"/>
                <w:shd w:val="clear" w:color="auto" w:fill="FFFFFF"/>
              </w:rPr>
              <w:t xml:space="preserve"> чинного законодавства та принцип</w:t>
            </w:r>
            <w:r>
              <w:rPr>
                <w:szCs w:val="28"/>
                <w:shd w:val="clear" w:color="auto" w:fill="FFFFFF"/>
              </w:rPr>
              <w:t>ів</w:t>
            </w:r>
            <w:r w:rsidR="00A13A17" w:rsidRPr="00C63CD4">
              <w:rPr>
                <w:szCs w:val="28"/>
                <w:shd w:val="clear" w:color="auto" w:fill="FFFFFF"/>
              </w:rPr>
              <w:t xml:space="preserve"> державної регуляторної політики.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7D3C38" w:rsidP="007D3C38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lastRenderedPageBreak/>
              <w:t>Відсутні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</w:p>
    <w:p w:rsidR="00BF1958" w:rsidRDefault="00BF1958" w:rsidP="00BF1958">
      <w:pPr>
        <w:pStyle w:val="21"/>
        <w:spacing w:after="0" w:line="240" w:lineRule="auto"/>
        <w:ind w:firstLine="851"/>
        <w:jc w:val="center"/>
        <w:rPr>
          <w:color w:val="000000"/>
          <w:szCs w:val="28"/>
          <w:lang w:val="en-US"/>
        </w:rPr>
      </w:pPr>
      <w:r w:rsidRPr="00C11766">
        <w:rPr>
          <w:color w:val="000000"/>
          <w:szCs w:val="28"/>
        </w:rPr>
        <w:t>Витрати, які будуть виникати внаслідок дії регуляторного акта (згідно з додатком 2 до Методики проведення аналізу впливу регуляторного акта</w:t>
      </w:r>
      <w:r>
        <w:rPr>
          <w:color w:val="000000"/>
          <w:szCs w:val="28"/>
        </w:rPr>
        <w:t>, затвердженої постановою Кабінету Міністрів України від 11 березня 2004 року № 308 (далі – Методика)</w:t>
      </w:r>
      <w:r w:rsidRPr="00C11766">
        <w:rPr>
          <w:color w:val="000000"/>
          <w:szCs w:val="28"/>
        </w:rPr>
        <w:t>)</w:t>
      </w:r>
    </w:p>
    <w:p w:rsidR="00BF1958" w:rsidRPr="00C44882" w:rsidRDefault="00BF1958" w:rsidP="00BF1958">
      <w:pPr>
        <w:pStyle w:val="21"/>
        <w:spacing w:after="0" w:line="240" w:lineRule="auto"/>
        <w:ind w:firstLine="851"/>
        <w:jc w:val="center"/>
        <w:rPr>
          <w:color w:val="000000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F1958" w:rsidRPr="00C11766" w:rsidTr="00B317E9">
        <w:tc>
          <w:tcPr>
            <w:tcW w:w="4924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Сумарні витрати за альтернативами</w:t>
            </w:r>
          </w:p>
        </w:tc>
        <w:tc>
          <w:tcPr>
            <w:tcW w:w="4924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Сума витрат, гривень</w:t>
            </w:r>
          </w:p>
        </w:tc>
      </w:tr>
      <w:tr w:rsidR="00AE7902" w:rsidRPr="00C11766" w:rsidTr="00B317E9">
        <w:tc>
          <w:tcPr>
            <w:tcW w:w="4924" w:type="dxa"/>
            <w:shd w:val="clear" w:color="auto" w:fill="auto"/>
          </w:tcPr>
          <w:p w:rsidR="00AE7902" w:rsidRPr="00C11766" w:rsidRDefault="00AE7902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Альтернатива 1.</w:t>
            </w:r>
            <w:r w:rsidRPr="00C11766">
              <w:rPr>
                <w:b/>
                <w:color w:val="000000"/>
                <w:szCs w:val="28"/>
              </w:rPr>
              <w:t>Збереження чинного регулювання</w:t>
            </w:r>
            <w:r w:rsidRPr="00C11766">
              <w:rPr>
                <w:color w:val="000000"/>
                <w:szCs w:val="28"/>
              </w:rPr>
              <w:t xml:space="preserve"> (Сумарні витрати для суб’єктів господарювання великого і середнього підприємництва згідно з додатком 2 до Методики </w:t>
            </w:r>
            <w:r>
              <w:rPr>
                <w:color w:val="000000"/>
                <w:szCs w:val="28"/>
              </w:rPr>
              <w:t>(рядок 11 таблиці «</w:t>
            </w:r>
            <w:r w:rsidRPr="00C11766">
              <w:rPr>
                <w:color w:val="000000"/>
                <w:szCs w:val="28"/>
              </w:rPr>
              <w:t>Витрати на одного суб’єкта господарювання великого і середнього підприємництва, які виникають в</w:t>
            </w:r>
            <w:r>
              <w:rPr>
                <w:color w:val="000000"/>
                <w:szCs w:val="28"/>
              </w:rPr>
              <w:t>наслідок дії регуляторного акта»</w:t>
            </w:r>
            <w:r w:rsidRPr="00C11766">
              <w:rPr>
                <w:color w:val="000000"/>
                <w:szCs w:val="28"/>
              </w:rPr>
              <w:t>)</w:t>
            </w:r>
          </w:p>
        </w:tc>
        <w:tc>
          <w:tcPr>
            <w:tcW w:w="4924" w:type="dxa"/>
            <w:shd w:val="clear" w:color="auto" w:fill="auto"/>
          </w:tcPr>
          <w:p w:rsidR="00AE7902" w:rsidRPr="00645257" w:rsidRDefault="00AE7902" w:rsidP="003505DE">
            <w:pPr>
              <w:pStyle w:val="21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645257">
              <w:rPr>
                <w:color w:val="000000" w:themeColor="text1"/>
                <w:szCs w:val="28"/>
              </w:rPr>
              <w:t>При мінімальних розрахунках</w:t>
            </w:r>
            <w:r w:rsidR="00E66E3E">
              <w:rPr>
                <w:color w:val="000000" w:themeColor="text1"/>
                <w:szCs w:val="28"/>
              </w:rPr>
              <w:t xml:space="preserve"> </w:t>
            </w:r>
            <w:r w:rsidR="00E66E3E">
              <w:rPr>
                <w:color w:val="000000" w:themeColor="text1"/>
                <w:szCs w:val="28"/>
              </w:rPr>
              <w:t>–</w:t>
            </w:r>
          </w:p>
          <w:p w:rsidR="00AE7902" w:rsidRPr="00645257" w:rsidRDefault="00AE7902" w:rsidP="003505DE">
            <w:pPr>
              <w:pStyle w:val="21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645257">
              <w:rPr>
                <w:color w:val="000000" w:themeColor="text1"/>
                <w:szCs w:val="28"/>
              </w:rPr>
              <w:t xml:space="preserve">50,61 грн. </w:t>
            </w:r>
          </w:p>
          <w:p w:rsidR="00AE7902" w:rsidRPr="00645257" w:rsidRDefault="00AE7902" w:rsidP="003505DE">
            <w:pPr>
              <w:pStyle w:val="21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645257">
              <w:rPr>
                <w:color w:val="000000" w:themeColor="text1"/>
                <w:szCs w:val="28"/>
              </w:rPr>
              <w:t>При максимальних розрахунках</w:t>
            </w:r>
            <w:r w:rsidR="00E66E3E">
              <w:rPr>
                <w:color w:val="000000" w:themeColor="text1"/>
                <w:szCs w:val="28"/>
              </w:rPr>
              <w:t xml:space="preserve"> </w:t>
            </w:r>
            <w:r w:rsidR="00E66E3E">
              <w:rPr>
                <w:color w:val="000000" w:themeColor="text1"/>
                <w:szCs w:val="28"/>
              </w:rPr>
              <w:t>–</w:t>
            </w:r>
          </w:p>
          <w:p w:rsidR="00AE7902" w:rsidRPr="00AE7902" w:rsidRDefault="00AE7902" w:rsidP="003505DE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645257">
              <w:rPr>
                <w:color w:val="000000" w:themeColor="text1"/>
                <w:szCs w:val="28"/>
              </w:rPr>
              <w:t>458,25 грн.</w:t>
            </w:r>
          </w:p>
        </w:tc>
      </w:tr>
      <w:tr w:rsidR="00AE7902" w:rsidRPr="00C11766" w:rsidTr="00B317E9">
        <w:tc>
          <w:tcPr>
            <w:tcW w:w="4924" w:type="dxa"/>
            <w:shd w:val="clear" w:color="auto" w:fill="auto"/>
          </w:tcPr>
          <w:p w:rsidR="00AE7902" w:rsidRPr="00C11766" w:rsidRDefault="00AE7902" w:rsidP="00B317E9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 xml:space="preserve">Альтернатива 2. </w:t>
            </w:r>
            <w:r w:rsidRPr="00C11766">
              <w:rPr>
                <w:b/>
                <w:color w:val="000000"/>
                <w:szCs w:val="28"/>
              </w:rPr>
              <w:t>Обраний спосіб</w:t>
            </w:r>
            <w:r w:rsidRPr="00C11766">
              <w:rPr>
                <w:color w:val="000000"/>
                <w:szCs w:val="28"/>
              </w:rPr>
              <w:t xml:space="preserve">. (Сумарні витрати для суб’єктів господарювання великого і середнього підприємництва згідно з додатком 2 до Методики </w:t>
            </w:r>
            <w:r>
              <w:rPr>
                <w:color w:val="000000"/>
                <w:szCs w:val="28"/>
              </w:rPr>
              <w:t>(рядок 11 таблиці «</w:t>
            </w:r>
            <w:r w:rsidRPr="00C11766">
              <w:rPr>
                <w:color w:val="000000"/>
                <w:szCs w:val="28"/>
              </w:rPr>
              <w:t>Витрати на одного суб’єкта господарювання великого і середнього підприємництва, які виникають в</w:t>
            </w:r>
            <w:r>
              <w:rPr>
                <w:color w:val="000000"/>
                <w:szCs w:val="28"/>
              </w:rPr>
              <w:t>наслідок дії регуляторного акта»</w:t>
            </w:r>
            <w:r w:rsidRPr="00C11766">
              <w:rPr>
                <w:color w:val="000000"/>
                <w:szCs w:val="28"/>
              </w:rPr>
              <w:t>)</w:t>
            </w:r>
          </w:p>
        </w:tc>
        <w:tc>
          <w:tcPr>
            <w:tcW w:w="4924" w:type="dxa"/>
            <w:shd w:val="clear" w:color="auto" w:fill="auto"/>
          </w:tcPr>
          <w:p w:rsidR="00AE7902" w:rsidRPr="00645257" w:rsidRDefault="00E66E3E" w:rsidP="003505DE">
            <w:pPr>
              <w:pStyle w:val="21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 мінімальних розрахунках </w:t>
            </w:r>
            <w:r>
              <w:rPr>
                <w:color w:val="000000" w:themeColor="text1"/>
                <w:szCs w:val="28"/>
              </w:rPr>
              <w:t>–</w:t>
            </w:r>
          </w:p>
          <w:p w:rsidR="00AE7902" w:rsidRPr="00645257" w:rsidRDefault="00AE7902" w:rsidP="003505DE">
            <w:pPr>
              <w:pStyle w:val="21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645257">
              <w:rPr>
                <w:color w:val="000000" w:themeColor="text1"/>
                <w:szCs w:val="28"/>
              </w:rPr>
              <w:t xml:space="preserve">120,00 грн. </w:t>
            </w:r>
          </w:p>
          <w:p w:rsidR="00AE7902" w:rsidRPr="00645257" w:rsidRDefault="00E66E3E" w:rsidP="003505DE">
            <w:pPr>
              <w:pStyle w:val="21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 максимальних розрахунках </w:t>
            </w:r>
            <w:r>
              <w:rPr>
                <w:color w:val="000000" w:themeColor="text1"/>
                <w:szCs w:val="28"/>
              </w:rPr>
              <w:t>–</w:t>
            </w:r>
          </w:p>
          <w:p w:rsidR="00AE7902" w:rsidRPr="00AE7902" w:rsidRDefault="00AE7902" w:rsidP="003505DE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645257">
              <w:rPr>
                <w:color w:val="000000" w:themeColor="text1"/>
                <w:szCs w:val="28"/>
              </w:rPr>
              <w:t>1148,79 грн.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  <w:r w:rsidRPr="00C11766">
        <w:rPr>
          <w:b/>
          <w:color w:val="000000"/>
          <w:szCs w:val="28"/>
        </w:rPr>
        <w:lastRenderedPageBreak/>
        <w:t>ІV. Вибір найбільш оптимального альтернативного способу досягнення цілей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73"/>
        <w:gridCol w:w="1221"/>
        <w:gridCol w:w="1701"/>
        <w:gridCol w:w="1417"/>
        <w:gridCol w:w="2227"/>
      </w:tblGrid>
      <w:tr w:rsidR="00BF1958" w:rsidRPr="00C11766" w:rsidTr="00B86446">
        <w:tc>
          <w:tcPr>
            <w:tcW w:w="3282" w:type="dxa"/>
            <w:gridSpan w:val="2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Коментарі щодо присвоєння відповідного бала</w:t>
            </w:r>
          </w:p>
        </w:tc>
      </w:tr>
      <w:tr w:rsidR="00BF1958" w:rsidRPr="00C11766" w:rsidTr="00B86446">
        <w:tc>
          <w:tcPr>
            <w:tcW w:w="3282" w:type="dxa"/>
            <w:gridSpan w:val="2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3F685E" w:rsidRPr="003F685E" w:rsidRDefault="003F685E" w:rsidP="003F685E">
            <w:pPr>
              <w:shd w:val="clear" w:color="auto" w:fill="FFFFFF"/>
              <w:tabs>
                <w:tab w:val="left" w:pos="974"/>
              </w:tabs>
              <w:ind w:firstLine="459"/>
              <w:jc w:val="both"/>
              <w:rPr>
                <w:rFonts w:eastAsia="Calibri"/>
                <w:bCs/>
                <w:color w:val="000000" w:themeColor="text1"/>
                <w:szCs w:val="28"/>
                <w:lang w:eastAsia="en-US"/>
              </w:rPr>
            </w:pPr>
            <w:r w:rsidRPr="003F685E">
              <w:rPr>
                <w:color w:val="000000" w:themeColor="text1"/>
                <w:szCs w:val="28"/>
              </w:rPr>
              <w:t xml:space="preserve">Чинна редакція акта передбачає 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одноосібне право орган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ів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з надання сервісних послуг МВС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на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видач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у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бланків свідоцтв про закінчення закладу з підготовки, перепідготовки та підвищення кваліфікації водіїв, а також надмірну </w:t>
            </w:r>
            <w:proofErr w:type="spellStart"/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зарегульованість</w:t>
            </w:r>
            <w:proofErr w:type="spellEnd"/>
            <w:r w:rsidR="00576385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порядку ведення обліку цих бланків свідоцтв та здійснення контролю за їх використанням</w:t>
            </w:r>
            <w:r w:rsid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.</w:t>
            </w:r>
          </w:p>
          <w:p w:rsidR="00BF1958" w:rsidRPr="00C11766" w:rsidRDefault="00BF1958" w:rsidP="003F685E">
            <w:pPr>
              <w:shd w:val="clear" w:color="auto" w:fill="FFFFFF"/>
              <w:tabs>
                <w:tab w:val="left" w:pos="974"/>
              </w:tabs>
              <w:ind w:firstLine="459"/>
              <w:jc w:val="both"/>
              <w:rPr>
                <w:szCs w:val="28"/>
              </w:rPr>
            </w:pPr>
            <w:r w:rsidRPr="00C11766">
              <w:rPr>
                <w:szCs w:val="28"/>
              </w:rPr>
              <w:t xml:space="preserve">У разі збереження чинного регулювання </w:t>
            </w:r>
            <w:r w:rsidR="00A66950" w:rsidRPr="00C63CD4">
              <w:rPr>
                <w:szCs w:val="28"/>
                <w:shd w:val="clear" w:color="auto" w:fill="FFFFFF"/>
              </w:rPr>
              <w:t>вимог щодо 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</w:t>
            </w:r>
            <w:r w:rsidR="00A66950">
              <w:rPr>
                <w:rStyle w:val="rvts0"/>
              </w:rPr>
              <w:t xml:space="preserve">, </w:t>
            </w:r>
            <w:r w:rsidR="00A66950" w:rsidRPr="00C63CD4">
              <w:rPr>
                <w:szCs w:val="28"/>
                <w:shd w:val="clear" w:color="auto" w:fill="FFFFFF"/>
              </w:rPr>
              <w:t>зазначені положення не відповіда</w:t>
            </w:r>
            <w:r w:rsidR="00A66950">
              <w:rPr>
                <w:szCs w:val="28"/>
                <w:shd w:val="clear" w:color="auto" w:fill="FFFFFF"/>
              </w:rPr>
              <w:t>тимуть</w:t>
            </w:r>
            <w:r w:rsidR="00A66950" w:rsidRPr="00C63CD4">
              <w:rPr>
                <w:szCs w:val="28"/>
                <w:shd w:val="clear" w:color="auto" w:fill="FFFFFF"/>
              </w:rPr>
              <w:t xml:space="preserve"> вимогам чинного законодавства та принципам державної регуляторної політики</w:t>
            </w:r>
            <w:r w:rsidR="00A66950">
              <w:rPr>
                <w:szCs w:val="28"/>
                <w:shd w:val="clear" w:color="auto" w:fill="FFFFFF"/>
              </w:rPr>
              <w:t>.</w:t>
            </w:r>
          </w:p>
        </w:tc>
      </w:tr>
      <w:tr w:rsidR="00BF1958" w:rsidRPr="00C11766" w:rsidTr="00B86446">
        <w:tc>
          <w:tcPr>
            <w:tcW w:w="3282" w:type="dxa"/>
            <w:gridSpan w:val="2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 w:rsidRPr="00C11766">
              <w:rPr>
                <w:bCs/>
                <w:szCs w:val="28"/>
              </w:rPr>
              <w:t>Обраний спосіб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CD4FF2" w:rsidRDefault="00CD4FF2" w:rsidP="00A13A17">
            <w:pPr>
              <w:ind w:firstLine="601"/>
              <w:jc w:val="both"/>
              <w:rPr>
                <w:rFonts w:eastAsia="Calibri"/>
                <w:bCs/>
                <w:color w:val="000000" w:themeColor="text1"/>
                <w:szCs w:val="28"/>
                <w:lang w:eastAsia="en-US"/>
              </w:rPr>
            </w:pPr>
            <w:r w:rsidRPr="00B23E82">
              <w:t xml:space="preserve">Проектом акта скасовується  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одноосібне право орган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ів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з надання сервісних послуг МВС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на 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видач</w:t>
            </w:r>
            <w:r w:rsidR="00E66E3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у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бланків свідоцтв про </w:t>
            </w:r>
            <w:r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lastRenderedPageBreak/>
              <w:t>закінчення закладу з підготовки, перепідготовки та підвищення кваліфікації водіїв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. Натомість такі заклади мають можливість самостійно обирати підприємство-виробника відповідних бланків свідоцтв та здійснювати їх замовлення</w:t>
            </w:r>
            <w:r w:rsidR="0037181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і закупівлю</w:t>
            </w:r>
            <w:r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. </w:t>
            </w:r>
          </w:p>
          <w:p w:rsidR="00CD4FF2" w:rsidRPr="00CD4FF2" w:rsidRDefault="00CD4FF2" w:rsidP="00A13A17">
            <w:pPr>
              <w:ind w:firstLine="601"/>
              <w:jc w:val="both"/>
              <w:rPr>
                <w:rFonts w:eastAsia="Calibri"/>
                <w:bCs/>
                <w:color w:val="000000" w:themeColor="text1"/>
                <w:szCs w:val="28"/>
                <w:lang w:eastAsia="en-US"/>
              </w:rPr>
            </w:pPr>
            <w:r w:rsidRP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Спрощується процедура здійснення обліку бланків свідоцтв – </w:t>
            </w:r>
            <w:r w:rsidRPr="00CD4FF2">
              <w:rPr>
                <w:szCs w:val="28"/>
              </w:rPr>
              <w:t xml:space="preserve">внутрішній облік у закладі та контроль за використанням  бланків здійснюється </w:t>
            </w:r>
            <w:r w:rsidR="00B86446">
              <w:rPr>
                <w:szCs w:val="28"/>
              </w:rPr>
              <w:t>в</w:t>
            </w:r>
            <w:r w:rsidRPr="00CD4FF2">
              <w:rPr>
                <w:szCs w:val="28"/>
              </w:rPr>
              <w:t xml:space="preserve"> довільній формі, що дозволяє, </w:t>
            </w:r>
            <w:r w:rsidR="00B86446">
              <w:rPr>
                <w:szCs w:val="28"/>
              </w:rPr>
              <w:t xml:space="preserve">за </w:t>
            </w:r>
            <w:r w:rsidRPr="00CD4FF2">
              <w:rPr>
                <w:szCs w:val="28"/>
              </w:rPr>
              <w:t xml:space="preserve"> необхідності, отримати інформацію про час і підстави видачі кожного бланк</w:t>
            </w:r>
            <w:r w:rsidR="00B86446">
              <w:rPr>
                <w:szCs w:val="28"/>
              </w:rPr>
              <w:t>а</w:t>
            </w:r>
            <w:r w:rsidRPr="00CD4FF2">
              <w:rPr>
                <w:szCs w:val="28"/>
              </w:rPr>
              <w:t xml:space="preserve"> свідоцтва. </w:t>
            </w:r>
          </w:p>
          <w:p w:rsidR="00BF1958" w:rsidRDefault="00B86446" w:rsidP="00D75668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  <w:r>
              <w:t>У</w:t>
            </w:r>
            <w:r w:rsidR="00CD4FF2">
              <w:t xml:space="preserve"> цілому норми проекту регуляторного акта забезпечують </w:t>
            </w:r>
            <w:r w:rsidR="00A13A17" w:rsidRPr="00C11766">
              <w:rPr>
                <w:szCs w:val="28"/>
              </w:rPr>
              <w:t>приведення</w:t>
            </w:r>
            <w:r w:rsidR="00645257">
              <w:rPr>
                <w:szCs w:val="28"/>
              </w:rPr>
              <w:t xml:space="preserve"> </w:t>
            </w:r>
            <w:r w:rsidR="00CD4FF2">
              <w:rPr>
                <w:szCs w:val="28"/>
              </w:rPr>
              <w:t>процедури</w:t>
            </w:r>
            <w:r w:rsidR="00645257">
              <w:rPr>
                <w:szCs w:val="28"/>
              </w:rPr>
              <w:t xml:space="preserve"> </w:t>
            </w:r>
            <w:r w:rsidR="00A13A17" w:rsidRPr="00C63CD4">
              <w:rPr>
                <w:szCs w:val="28"/>
                <w:shd w:val="clear" w:color="auto" w:fill="FFFFFF"/>
              </w:rPr>
              <w:t>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</w:t>
            </w:r>
            <w:r w:rsidR="00A13A17">
              <w:rPr>
                <w:szCs w:val="28"/>
                <w:shd w:val="clear" w:color="auto" w:fill="FFFFFF"/>
              </w:rPr>
              <w:t xml:space="preserve"> у  </w:t>
            </w:r>
            <w:r w:rsidR="00A13A17" w:rsidRPr="00C63CD4">
              <w:rPr>
                <w:szCs w:val="28"/>
                <w:shd w:val="clear" w:color="auto" w:fill="FFFFFF"/>
              </w:rPr>
              <w:t>відповід</w:t>
            </w:r>
            <w:r w:rsidR="00A13A17">
              <w:rPr>
                <w:szCs w:val="28"/>
                <w:shd w:val="clear" w:color="auto" w:fill="FFFFFF"/>
              </w:rPr>
              <w:t>ність</w:t>
            </w:r>
            <w:r w:rsidR="00A13A17" w:rsidRPr="00C63CD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до </w:t>
            </w:r>
            <w:r w:rsidR="00A13A17" w:rsidRPr="00C63CD4">
              <w:rPr>
                <w:szCs w:val="28"/>
                <w:shd w:val="clear" w:color="auto" w:fill="FFFFFF"/>
              </w:rPr>
              <w:t>вимог чинного законодавства та принцип</w:t>
            </w:r>
            <w:r>
              <w:rPr>
                <w:szCs w:val="28"/>
                <w:shd w:val="clear" w:color="auto" w:fill="FFFFFF"/>
              </w:rPr>
              <w:t>ів</w:t>
            </w:r>
            <w:r w:rsidR="00A13A17" w:rsidRPr="00C63CD4">
              <w:rPr>
                <w:szCs w:val="28"/>
                <w:shd w:val="clear" w:color="auto" w:fill="FFFFFF"/>
              </w:rPr>
              <w:t xml:space="preserve"> державної регуляторної політики.</w:t>
            </w:r>
          </w:p>
          <w:p w:rsidR="00645257" w:rsidRDefault="00645257" w:rsidP="00D75668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</w:p>
          <w:p w:rsidR="00645257" w:rsidRDefault="00645257" w:rsidP="00D75668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</w:p>
          <w:p w:rsidR="00645257" w:rsidRDefault="00645257" w:rsidP="00D75668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</w:p>
          <w:p w:rsidR="00645257" w:rsidRDefault="00645257" w:rsidP="00D75668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</w:p>
          <w:p w:rsidR="00645257" w:rsidRPr="00D75668" w:rsidRDefault="00645257" w:rsidP="00D75668">
            <w:pPr>
              <w:ind w:firstLine="601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B86446" w:rsidRPr="00C11766" w:rsidTr="00B86446">
        <w:tc>
          <w:tcPr>
            <w:tcW w:w="1809" w:type="dxa"/>
            <w:shd w:val="clear" w:color="auto" w:fill="auto"/>
          </w:tcPr>
          <w:p w:rsidR="00B8644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lastRenderedPageBreak/>
              <w:t xml:space="preserve">Рейтинг </w:t>
            </w:r>
            <w:proofErr w:type="spellStart"/>
            <w:r w:rsidRPr="00C11766">
              <w:rPr>
                <w:b/>
                <w:color w:val="000000"/>
                <w:szCs w:val="28"/>
              </w:rPr>
              <w:t>результатив</w:t>
            </w:r>
            <w:proofErr w:type="spellEnd"/>
          </w:p>
          <w:p w:rsidR="00BF1958" w:rsidRPr="00C1176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proofErr w:type="spellStart"/>
            <w:r w:rsidRPr="00C11766">
              <w:rPr>
                <w:b/>
                <w:color w:val="000000"/>
                <w:szCs w:val="28"/>
              </w:rPr>
              <w:t>ності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Вигоди (підсумок)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F1958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Витрати (підсумок)</w:t>
            </w:r>
          </w:p>
          <w:p w:rsidR="003456CC" w:rsidRDefault="003456CC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3456CC" w:rsidRPr="00C11766" w:rsidRDefault="003456CC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 xml:space="preserve">Обґрунтування відповідного місця альтернативи у рейтингу </w:t>
            </w:r>
          </w:p>
        </w:tc>
      </w:tr>
      <w:tr w:rsidR="00B86446" w:rsidRPr="00C11766" w:rsidTr="00B86446">
        <w:tc>
          <w:tcPr>
            <w:tcW w:w="1809" w:type="dxa"/>
            <w:shd w:val="clear" w:color="auto" w:fill="auto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Немає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456CC" w:rsidRDefault="003456CC" w:rsidP="003456CC">
            <w:pPr>
              <w:pStyle w:val="21"/>
              <w:spacing w:after="0" w:line="240" w:lineRule="auto"/>
              <w:ind w:left="-45"/>
              <w:jc w:val="both"/>
              <w:rPr>
                <w:szCs w:val="28"/>
                <w:shd w:val="clear" w:color="auto" w:fill="FFFFFF"/>
              </w:rPr>
            </w:pPr>
            <w:r w:rsidRPr="003456CC">
              <w:rPr>
                <w:rFonts w:eastAsia="Calibri"/>
                <w:bCs/>
                <w:szCs w:val="28"/>
                <w:lang w:eastAsia="en-US"/>
              </w:rPr>
              <w:t>Органи з надання сервісних послуг МВС здій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снюють закупівлю у підприємства-</w:t>
            </w:r>
            <w:r w:rsidRPr="003456CC">
              <w:rPr>
                <w:rFonts w:eastAsia="Calibri"/>
                <w:bCs/>
                <w:szCs w:val="28"/>
                <w:lang w:eastAsia="en-US"/>
              </w:rPr>
              <w:t xml:space="preserve">виробника партії бланків свідоцтв </w:t>
            </w:r>
            <w:r w:rsidRPr="003456CC">
              <w:rPr>
                <w:szCs w:val="28"/>
                <w:shd w:val="clear" w:color="auto" w:fill="FFFFFF"/>
              </w:rPr>
              <w:t xml:space="preserve">про закінчення закладу з підготовки, перепідготовки та підвищення кваліфікації водіїв за ціною 1 грн. </w:t>
            </w:r>
            <w:r w:rsidR="00B86446">
              <w:rPr>
                <w:szCs w:val="28"/>
                <w:shd w:val="clear" w:color="auto" w:fill="FFFFFF"/>
              </w:rPr>
              <w:t xml:space="preserve"> </w:t>
            </w:r>
            <w:r w:rsidRPr="003456CC">
              <w:rPr>
                <w:szCs w:val="28"/>
                <w:shd w:val="clear" w:color="auto" w:fill="FFFFFF"/>
              </w:rPr>
              <w:t>20 коп. за одну штуку.</w:t>
            </w:r>
          </w:p>
          <w:p w:rsidR="00B86446" w:rsidRDefault="003456CC" w:rsidP="003456CC">
            <w:pPr>
              <w:pStyle w:val="21"/>
              <w:spacing w:after="0" w:line="240" w:lineRule="auto"/>
              <w:ind w:left="-45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456CC">
              <w:rPr>
                <w:rFonts w:eastAsia="Calibri"/>
                <w:bCs/>
                <w:szCs w:val="28"/>
                <w:lang w:eastAsia="en-US"/>
              </w:rPr>
              <w:t>За аналогічною ціною бланк відповідного свідоцтва реалізується суб’єкту господарювання без будь-якої націнки.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У середньому один нав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ч</w:t>
            </w:r>
            <w:r>
              <w:rPr>
                <w:rFonts w:eastAsia="Calibri"/>
                <w:bCs/>
                <w:szCs w:val="28"/>
                <w:lang w:eastAsia="en-US"/>
              </w:rPr>
              <w:t>альний заклад у місяць здійснює підготовку 30 кандидатів у водії транспортних засобів. Таким чином, навчальний заклад витрачає 36 гривень (1,20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  </w:t>
            </w:r>
            <w:r w:rsidR="0037181E">
              <w:rPr>
                <w:rFonts w:eastAsia="Calibri"/>
                <w:bCs/>
                <w:szCs w:val="28"/>
                <w:lang w:eastAsia="en-US"/>
              </w:rPr>
              <w:t>грн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. </w:t>
            </w:r>
            <w:r>
              <w:rPr>
                <w:rFonts w:eastAsia="Calibri"/>
                <w:bCs/>
                <w:szCs w:val="28"/>
                <w:lang w:eastAsia="en-US"/>
              </w:rPr>
              <w:t>х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  </w:t>
            </w:r>
            <w:r>
              <w:rPr>
                <w:rFonts w:eastAsia="Calibri"/>
                <w:bCs/>
                <w:szCs w:val="28"/>
                <w:lang w:eastAsia="en-US"/>
              </w:rPr>
              <w:t>30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 </w:t>
            </w:r>
            <w:r w:rsidR="0037181E">
              <w:rPr>
                <w:rFonts w:eastAsia="Calibri"/>
                <w:bCs/>
                <w:szCs w:val="28"/>
                <w:lang w:eastAsia="en-US"/>
              </w:rPr>
              <w:t>кандидатів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)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. За рік витрати закладу становлять 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432 грн. </w:t>
            </w:r>
          </w:p>
          <w:p w:rsidR="003456CC" w:rsidRPr="003456CC" w:rsidRDefault="003456CC" w:rsidP="003456CC">
            <w:pPr>
              <w:pStyle w:val="21"/>
              <w:spacing w:after="0" w:line="240" w:lineRule="auto"/>
              <w:ind w:left="-45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(36 грн. х 12 міс.).  </w:t>
            </w:r>
          </w:p>
          <w:p w:rsidR="00B86446" w:rsidRDefault="003456CC" w:rsidP="003456CC">
            <w:pPr>
              <w:pStyle w:val="21"/>
              <w:spacing w:after="0" w:line="240" w:lineRule="auto"/>
              <w:ind w:left="-45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456CC">
              <w:rPr>
                <w:rFonts w:eastAsia="Calibri"/>
                <w:bCs/>
                <w:szCs w:val="28"/>
                <w:lang w:eastAsia="en-US"/>
              </w:rPr>
              <w:t>Загальна річна сума, яку витрачають акредитовані навчальні заклади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,</w:t>
            </w:r>
            <w:r w:rsidRPr="003456CC">
              <w:rPr>
                <w:rFonts w:eastAsia="Calibri"/>
                <w:bCs/>
                <w:szCs w:val="28"/>
                <w:lang w:eastAsia="en-US"/>
              </w:rPr>
              <w:t xml:space="preserve"> складає 711 936 грн. </w:t>
            </w:r>
          </w:p>
          <w:p w:rsidR="003456CC" w:rsidRPr="003456CC" w:rsidRDefault="003456CC" w:rsidP="00B86446">
            <w:pPr>
              <w:pStyle w:val="21"/>
              <w:spacing w:after="0" w:line="240" w:lineRule="auto"/>
              <w:ind w:left="-45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(432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  </w:t>
            </w:r>
            <w:r>
              <w:rPr>
                <w:rFonts w:eastAsia="Calibri"/>
                <w:bCs/>
                <w:szCs w:val="28"/>
                <w:lang w:eastAsia="en-US"/>
              </w:rPr>
              <w:t>грн.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  </w:t>
            </w:r>
            <w:r>
              <w:rPr>
                <w:rFonts w:eastAsia="Calibri"/>
                <w:bCs/>
                <w:szCs w:val="28"/>
                <w:lang w:eastAsia="en-US"/>
              </w:rPr>
              <w:t>х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  </w:t>
            </w:r>
            <w:r>
              <w:rPr>
                <w:rFonts w:eastAsia="Calibri"/>
                <w:bCs/>
                <w:szCs w:val="28"/>
                <w:lang w:eastAsia="en-US"/>
              </w:rPr>
              <w:t>1648 нав</w:t>
            </w:r>
            <w:r w:rsidR="00B86446">
              <w:rPr>
                <w:rFonts w:eastAsia="Calibri"/>
                <w:bCs/>
                <w:szCs w:val="28"/>
                <w:lang w:eastAsia="en-US"/>
              </w:rPr>
              <w:t>ч</w:t>
            </w:r>
            <w:r>
              <w:rPr>
                <w:rFonts w:eastAsia="Calibri"/>
                <w:bCs/>
                <w:szCs w:val="28"/>
                <w:lang w:eastAsia="en-US"/>
              </w:rPr>
              <w:t>альних закладів).</w:t>
            </w:r>
          </w:p>
        </w:tc>
        <w:tc>
          <w:tcPr>
            <w:tcW w:w="2227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>Узагалі не враховує</w:t>
            </w:r>
          </w:p>
        </w:tc>
      </w:tr>
      <w:tr w:rsidR="00B86446" w:rsidRPr="00C11766" w:rsidTr="00B86446">
        <w:tc>
          <w:tcPr>
            <w:tcW w:w="1809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 w:rsidRPr="00C11766">
              <w:rPr>
                <w:bCs/>
                <w:szCs w:val="28"/>
              </w:rPr>
              <w:lastRenderedPageBreak/>
              <w:t>Обраний спосіб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F1958" w:rsidRPr="00C11766" w:rsidRDefault="003A53E8" w:rsidP="00B86446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Прийняття регуляторного акта</w:t>
            </w:r>
            <w:r w:rsidR="00645257">
              <w:rPr>
                <w:color w:val="000000"/>
                <w:szCs w:val="28"/>
              </w:rPr>
              <w:t xml:space="preserve"> </w:t>
            </w:r>
            <w:r w:rsidRPr="00C11766">
              <w:rPr>
                <w:szCs w:val="28"/>
              </w:rPr>
              <w:t xml:space="preserve">дозволить </w:t>
            </w:r>
            <w:r w:rsidR="00B86446">
              <w:rPr>
                <w:szCs w:val="28"/>
              </w:rPr>
              <w:t>розв’язати</w:t>
            </w:r>
            <w:r w:rsidRPr="00C11766">
              <w:rPr>
                <w:szCs w:val="28"/>
              </w:rPr>
              <w:t xml:space="preserve"> питання приведення у відповідність до законодавства</w:t>
            </w:r>
            <w:r>
              <w:rPr>
                <w:szCs w:val="28"/>
              </w:rPr>
              <w:t xml:space="preserve"> вимог</w:t>
            </w:r>
            <w:r w:rsidR="00554F0D">
              <w:rPr>
                <w:szCs w:val="28"/>
              </w:rPr>
              <w:t xml:space="preserve"> </w:t>
            </w:r>
            <w:r w:rsidR="00B86446">
              <w:rPr>
                <w:szCs w:val="28"/>
                <w:shd w:val="clear" w:color="auto" w:fill="FFFFFF"/>
              </w:rPr>
              <w:t>у</w:t>
            </w:r>
            <w:r w:rsidRPr="00C63CD4">
              <w:rPr>
                <w:szCs w:val="28"/>
                <w:shd w:val="clear" w:color="auto" w:fill="FFFFFF"/>
              </w:rPr>
              <w:t xml:space="preserve"> частині 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</w:t>
            </w:r>
            <w:r w:rsidR="00B86446">
              <w:rPr>
                <w:szCs w:val="28"/>
                <w:shd w:val="clear" w:color="auto" w:fill="FFFFFF"/>
              </w:rPr>
              <w:t xml:space="preserve">тв та здійснення контролю за їх </w:t>
            </w:r>
            <w:r w:rsidRPr="00C63CD4">
              <w:rPr>
                <w:szCs w:val="28"/>
                <w:shd w:val="clear" w:color="auto" w:fill="FFFFFF"/>
              </w:rPr>
              <w:t>використанням</w:t>
            </w:r>
            <w:r w:rsidR="0037181E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76385" w:rsidRPr="00645257" w:rsidRDefault="00576385" w:rsidP="00B86446">
            <w:pPr>
              <w:pStyle w:val="21"/>
              <w:spacing w:after="0" w:line="240" w:lineRule="auto"/>
              <w:ind w:left="-45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645257">
              <w:rPr>
                <w:color w:val="000000" w:themeColor="text1"/>
                <w:szCs w:val="28"/>
                <w:shd w:val="clear" w:color="auto" w:fill="FFFFFF"/>
              </w:rPr>
              <w:t xml:space="preserve">Замовлення </w:t>
            </w:r>
            <w:r w:rsidRPr="00645257">
              <w:rPr>
                <w:color w:val="000000" w:themeColor="text1"/>
                <w:szCs w:val="28"/>
              </w:rPr>
              <w:t xml:space="preserve">бланків свідоцтв про закінчення закладу з підготовки, перепідготовки і підвищення кваліфікації водіїв </w:t>
            </w:r>
            <w:r w:rsidR="00554F0D" w:rsidRPr="00645257">
              <w:rPr>
                <w:color w:val="000000" w:themeColor="text1"/>
                <w:szCs w:val="28"/>
              </w:rPr>
              <w:t xml:space="preserve">навчальними </w:t>
            </w:r>
            <w:proofErr w:type="spellStart"/>
            <w:r w:rsidR="00554F0D" w:rsidRPr="00645257">
              <w:rPr>
                <w:color w:val="000000" w:themeColor="text1"/>
                <w:szCs w:val="28"/>
              </w:rPr>
              <w:t>закла</w:t>
            </w:r>
            <w:proofErr w:type="spellEnd"/>
            <w:r w:rsidR="00554F0D" w:rsidRPr="00645257">
              <w:rPr>
                <w:color w:val="000000" w:themeColor="text1"/>
                <w:szCs w:val="28"/>
              </w:rPr>
              <w:t>дами</w:t>
            </w:r>
            <w:r w:rsidR="00B86446">
              <w:rPr>
                <w:color w:val="000000" w:themeColor="text1"/>
                <w:szCs w:val="28"/>
              </w:rPr>
              <w:t>  </w:t>
            </w:r>
            <w:r w:rsidR="00554F0D" w:rsidRPr="00645257">
              <w:rPr>
                <w:color w:val="000000" w:themeColor="text1"/>
                <w:szCs w:val="28"/>
              </w:rPr>
              <w:t>буде здійснюватис</w:t>
            </w:r>
            <w:r w:rsidR="00B86446">
              <w:rPr>
                <w:color w:val="000000" w:themeColor="text1"/>
                <w:szCs w:val="28"/>
              </w:rPr>
              <w:t>я</w:t>
            </w:r>
            <w:r w:rsidR="00554F0D" w:rsidRPr="00645257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45257">
              <w:rPr>
                <w:color w:val="000000" w:themeColor="text1"/>
                <w:szCs w:val="28"/>
              </w:rPr>
              <w:t>са</w:t>
            </w:r>
            <w:proofErr w:type="spellEnd"/>
            <w:r w:rsidRPr="00645257">
              <w:rPr>
                <w:color w:val="000000" w:themeColor="text1"/>
                <w:szCs w:val="28"/>
              </w:rPr>
              <w:t>мостійно</w:t>
            </w:r>
            <w:r w:rsidR="00B86446">
              <w:rPr>
                <w:color w:val="000000" w:themeColor="text1"/>
                <w:szCs w:val="28"/>
              </w:rPr>
              <w:t>  в</w:t>
            </w:r>
            <w:r w:rsidRPr="00645257">
              <w:rPr>
                <w:color w:val="000000" w:themeColor="text1"/>
                <w:szCs w:val="28"/>
              </w:rPr>
              <w:t xml:space="preserve"> підприємства-виробника</w:t>
            </w:r>
            <w:r w:rsidR="00554F0D" w:rsidRPr="00645257">
              <w:rPr>
                <w:color w:val="000000" w:themeColor="text1"/>
                <w:szCs w:val="28"/>
              </w:rPr>
              <w:t>.</w:t>
            </w:r>
            <w:r w:rsidR="007D2E5C" w:rsidRPr="00645257">
              <w:rPr>
                <w:color w:val="000000" w:themeColor="text1"/>
                <w:szCs w:val="28"/>
              </w:rPr>
              <w:t xml:space="preserve"> Оскільки </w:t>
            </w:r>
            <w:r w:rsidR="00B86446">
              <w:rPr>
                <w:color w:val="000000" w:themeColor="text1"/>
                <w:szCs w:val="28"/>
              </w:rPr>
              <w:t xml:space="preserve">неможливо </w:t>
            </w:r>
            <w:r w:rsidR="007D2E5C" w:rsidRPr="00645257">
              <w:rPr>
                <w:color w:val="000000" w:themeColor="text1"/>
                <w:szCs w:val="28"/>
              </w:rPr>
              <w:t xml:space="preserve">визначити </w:t>
            </w:r>
            <w:r w:rsidR="00707D56" w:rsidRPr="00645257">
              <w:rPr>
                <w:color w:val="000000" w:themeColor="text1"/>
                <w:szCs w:val="28"/>
              </w:rPr>
              <w:t>ціну</w:t>
            </w:r>
            <w:r w:rsidR="007D2E5C" w:rsidRPr="00645257">
              <w:rPr>
                <w:color w:val="000000" w:themeColor="text1"/>
                <w:szCs w:val="28"/>
              </w:rPr>
              <w:t xml:space="preserve"> бланк</w:t>
            </w:r>
            <w:r w:rsidR="000E3E28" w:rsidRPr="00645257">
              <w:rPr>
                <w:color w:val="000000" w:themeColor="text1"/>
                <w:szCs w:val="28"/>
              </w:rPr>
              <w:t>ів</w:t>
            </w:r>
            <w:r w:rsidR="007D2E5C" w:rsidRPr="00645257">
              <w:rPr>
                <w:color w:val="000000" w:themeColor="text1"/>
                <w:szCs w:val="28"/>
              </w:rPr>
              <w:t xml:space="preserve"> свідоцт</w:t>
            </w:r>
            <w:r w:rsidR="00707D56" w:rsidRPr="00645257">
              <w:rPr>
                <w:color w:val="000000" w:themeColor="text1"/>
                <w:szCs w:val="28"/>
              </w:rPr>
              <w:t>в</w:t>
            </w:r>
            <w:r w:rsidR="00645257">
              <w:rPr>
                <w:color w:val="000000" w:themeColor="text1"/>
                <w:szCs w:val="28"/>
              </w:rPr>
              <w:t>,</w:t>
            </w:r>
            <w:r w:rsidR="00707D56" w:rsidRPr="00645257">
              <w:rPr>
                <w:color w:val="000000" w:themeColor="text1"/>
                <w:szCs w:val="28"/>
              </w:rPr>
              <w:t xml:space="preserve"> за якою буде здійснюватис</w:t>
            </w:r>
            <w:r w:rsidR="00B86446">
              <w:rPr>
                <w:color w:val="000000" w:themeColor="text1"/>
                <w:szCs w:val="28"/>
              </w:rPr>
              <w:t>я</w:t>
            </w:r>
            <w:r w:rsidR="00707D56" w:rsidRPr="00645257">
              <w:rPr>
                <w:color w:val="000000" w:themeColor="text1"/>
                <w:szCs w:val="28"/>
              </w:rPr>
              <w:t xml:space="preserve"> їх реалізація </w:t>
            </w:r>
            <w:proofErr w:type="spellStart"/>
            <w:r w:rsidR="00707D56" w:rsidRPr="00645257">
              <w:rPr>
                <w:color w:val="000000" w:themeColor="text1"/>
                <w:szCs w:val="28"/>
              </w:rPr>
              <w:t>підприємством</w:t>
            </w:r>
            <w:r w:rsidR="00645257">
              <w:rPr>
                <w:color w:val="000000" w:themeColor="text1"/>
                <w:szCs w:val="28"/>
              </w:rPr>
              <w:t>-</w:t>
            </w:r>
            <w:proofErr w:type="spellEnd"/>
            <w:r w:rsidR="00707D56" w:rsidRPr="00645257">
              <w:rPr>
                <w:color w:val="000000" w:themeColor="text1"/>
                <w:szCs w:val="28"/>
              </w:rPr>
              <w:t xml:space="preserve"> виробником</w:t>
            </w:r>
            <w:r w:rsidR="00B86446">
              <w:rPr>
                <w:color w:val="000000" w:themeColor="text1"/>
                <w:szCs w:val="28"/>
              </w:rPr>
              <w:t>,</w:t>
            </w:r>
            <w:r w:rsidR="000E3E28" w:rsidRPr="00645257">
              <w:rPr>
                <w:color w:val="000000" w:themeColor="text1"/>
                <w:szCs w:val="28"/>
              </w:rPr>
              <w:t xml:space="preserve"> </w:t>
            </w:r>
            <w:r w:rsidR="00707D56" w:rsidRPr="00645257">
              <w:rPr>
                <w:color w:val="000000" w:themeColor="text1"/>
                <w:szCs w:val="28"/>
              </w:rPr>
              <w:t>для розрахунку при</w:t>
            </w:r>
            <w:r w:rsidR="00934FFE" w:rsidRPr="00645257">
              <w:rPr>
                <w:color w:val="000000" w:themeColor="text1"/>
                <w:szCs w:val="28"/>
              </w:rPr>
              <w:t xml:space="preserve">ймається </w:t>
            </w:r>
            <w:r w:rsidR="004B5248"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ціна бланка свідоцтва</w:t>
            </w:r>
            <w:r w:rsid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,</w:t>
            </w:r>
            <w:r w:rsidR="004B5248"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за якою </w:t>
            </w:r>
            <w:r w:rsidR="00305CF3"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здійснюється їх реалізація органом з надання сервісних послуг МВС</w:t>
            </w:r>
            <w:r w:rsidR="0096248F"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, а </w:t>
            </w:r>
            <w:r w:rsid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                </w:t>
            </w:r>
            <w:r w:rsidR="0096248F"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саме </w:t>
            </w:r>
            <w:r w:rsidR="0096248F" w:rsidRPr="00645257">
              <w:rPr>
                <w:color w:val="000000" w:themeColor="text1"/>
                <w:szCs w:val="28"/>
                <w:shd w:val="clear" w:color="auto" w:fill="FFFFFF"/>
              </w:rPr>
              <w:t>1 грн. 20 коп. за одну штуку.</w:t>
            </w:r>
          </w:p>
          <w:p w:rsidR="00F90301" w:rsidRDefault="0096248F" w:rsidP="0096248F">
            <w:pPr>
              <w:pStyle w:val="21"/>
              <w:spacing w:after="0" w:line="240" w:lineRule="auto"/>
              <w:ind w:left="-45"/>
              <w:jc w:val="both"/>
              <w:rPr>
                <w:rFonts w:eastAsia="Calibri"/>
                <w:bCs/>
                <w:color w:val="000000" w:themeColor="text1"/>
                <w:szCs w:val="28"/>
                <w:lang w:eastAsia="en-US"/>
              </w:rPr>
            </w:pP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У середньому один нав</w:t>
            </w:r>
            <w:r w:rsidR="00B86446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ч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альний заклад у місяць здійснює підготовку 30 кандидатів у водії транспортних засобів. Таким чином, навчальний заклад витрачає 36 гривень (1,20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  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грн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.  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х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  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30 кандидатів). </w:t>
            </w:r>
          </w:p>
          <w:p w:rsidR="0096248F" w:rsidRPr="00645257" w:rsidRDefault="0096248F" w:rsidP="0096248F">
            <w:pPr>
              <w:pStyle w:val="21"/>
              <w:spacing w:after="0" w:line="240" w:lineRule="auto"/>
              <w:ind w:left="-45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За рік витрати закладу становлять 432 грн. 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             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(36 грн. х 12 міс.).  </w:t>
            </w:r>
          </w:p>
          <w:p w:rsidR="00BF1958" w:rsidRPr="0096248F" w:rsidRDefault="0096248F" w:rsidP="0096248F">
            <w:pPr>
              <w:pStyle w:val="21"/>
              <w:spacing w:after="0" w:line="240" w:lineRule="auto"/>
              <w:ind w:left="-45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Загальна річна сума, яку витрачають акредитовані навчальні заклади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,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складає 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lastRenderedPageBreak/>
              <w:t>711 936 грн. (432 грн. х 1648 нав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ч</w:t>
            </w:r>
            <w:r w:rsidRPr="00645257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альних закладів).</w:t>
            </w:r>
          </w:p>
        </w:tc>
        <w:tc>
          <w:tcPr>
            <w:tcW w:w="2227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lastRenderedPageBreak/>
              <w:t>Повністю забезпечує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F1958" w:rsidRPr="00C11766" w:rsidTr="00B317E9">
        <w:tc>
          <w:tcPr>
            <w:tcW w:w="3282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Рейтинг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BF1958" w:rsidP="00B317E9">
            <w:pPr>
              <w:pStyle w:val="21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C11766">
              <w:rPr>
                <w:b/>
                <w:color w:val="000000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BF1958" w:rsidRPr="00C11766" w:rsidTr="00B317E9">
        <w:tc>
          <w:tcPr>
            <w:tcW w:w="3282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"/>
              <w:spacing w:after="0" w:line="240" w:lineRule="auto"/>
              <w:ind w:left="0"/>
              <w:rPr>
                <w:bCs/>
                <w:szCs w:val="28"/>
              </w:rPr>
            </w:pPr>
            <w:r w:rsidRPr="00C11766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283" w:type="dxa"/>
            <w:shd w:val="clear" w:color="auto" w:fill="auto"/>
          </w:tcPr>
          <w:p w:rsidR="00BF1958" w:rsidRDefault="00BF1958" w:rsidP="00A13A17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11766">
              <w:rPr>
                <w:color w:val="000000"/>
                <w:szCs w:val="28"/>
              </w:rPr>
              <w:t xml:space="preserve">Переваги відсутні. </w:t>
            </w:r>
          </w:p>
          <w:p w:rsidR="00A13A17" w:rsidRDefault="00A13A17" w:rsidP="00A13A17">
            <w:pPr>
              <w:pStyle w:val="21"/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 xml:space="preserve">Відмова від альтернативи неможлива в </w:t>
            </w:r>
            <w:r w:rsidR="00F90301">
              <w:rPr>
                <w:color w:val="000000"/>
                <w:szCs w:val="28"/>
              </w:rPr>
              <w:t>межах</w:t>
            </w:r>
            <w:r>
              <w:rPr>
                <w:color w:val="000000"/>
                <w:szCs w:val="28"/>
              </w:rPr>
              <w:t xml:space="preserve"> Закону України «Про засади державної регуляторної політики</w:t>
            </w:r>
            <w:r w:rsidRPr="00C63CD4">
              <w:rPr>
                <w:szCs w:val="28"/>
                <w:shd w:val="clear" w:color="auto" w:fill="FFFFFF"/>
              </w:rPr>
              <w:t xml:space="preserve"> у </w:t>
            </w:r>
            <w:r>
              <w:rPr>
                <w:szCs w:val="28"/>
                <w:shd w:val="clear" w:color="auto" w:fill="FFFFFF"/>
              </w:rPr>
              <w:t>сфері господарської діяльності».</w:t>
            </w:r>
            <w:r w:rsidR="00645257">
              <w:rPr>
                <w:szCs w:val="28"/>
                <w:shd w:val="clear" w:color="auto" w:fill="FFFFFF"/>
              </w:rPr>
              <w:t xml:space="preserve">    </w:t>
            </w:r>
          </w:p>
          <w:p w:rsidR="00645257" w:rsidRPr="00C11766" w:rsidRDefault="00645257" w:rsidP="00A13A17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BF1958" w:rsidRPr="00C11766" w:rsidRDefault="00F90301" w:rsidP="00B317E9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Ризики в</w:t>
            </w:r>
            <w:r w:rsidR="00BF1958" w:rsidRPr="00C11766">
              <w:rPr>
                <w:color w:val="000000"/>
                <w:szCs w:val="28"/>
              </w:rPr>
              <w:t>ідсутні</w:t>
            </w:r>
          </w:p>
        </w:tc>
      </w:tr>
      <w:tr w:rsidR="00BF1958" w:rsidRPr="00C11766" w:rsidTr="00B317E9">
        <w:tc>
          <w:tcPr>
            <w:tcW w:w="3282" w:type="dxa"/>
            <w:shd w:val="clear" w:color="auto" w:fill="auto"/>
            <w:vAlign w:val="center"/>
          </w:tcPr>
          <w:p w:rsidR="00BF1958" w:rsidRPr="00C11766" w:rsidRDefault="00BF1958" w:rsidP="00B317E9">
            <w:pPr>
              <w:pStyle w:val="21"/>
              <w:spacing w:after="0" w:line="240" w:lineRule="auto"/>
              <w:rPr>
                <w:color w:val="000000"/>
                <w:szCs w:val="28"/>
              </w:rPr>
            </w:pPr>
            <w:r w:rsidRPr="00C11766">
              <w:rPr>
                <w:bCs/>
                <w:szCs w:val="28"/>
              </w:rPr>
              <w:t>Обраний спосіб</w:t>
            </w:r>
          </w:p>
        </w:tc>
        <w:tc>
          <w:tcPr>
            <w:tcW w:w="3283" w:type="dxa"/>
            <w:shd w:val="clear" w:color="auto" w:fill="auto"/>
          </w:tcPr>
          <w:p w:rsidR="0037181E" w:rsidRDefault="00BF1958" w:rsidP="0037181E">
            <w:pPr>
              <w:ind w:firstLine="601"/>
              <w:jc w:val="both"/>
              <w:rPr>
                <w:rFonts w:eastAsia="Calibri"/>
                <w:bCs/>
                <w:color w:val="000000" w:themeColor="text1"/>
                <w:szCs w:val="28"/>
                <w:lang w:eastAsia="en-US"/>
              </w:rPr>
            </w:pPr>
            <w:r w:rsidRPr="00C11766">
              <w:rPr>
                <w:szCs w:val="28"/>
              </w:rPr>
              <w:t xml:space="preserve">Причини для відмови відсутні, обрана альтернатива приведе акт у відповідність до </w:t>
            </w:r>
            <w:r w:rsidR="00251DCF" w:rsidRPr="00C63CD4">
              <w:rPr>
                <w:szCs w:val="28"/>
                <w:shd w:val="clear" w:color="auto" w:fill="FFFFFF"/>
              </w:rPr>
              <w:t>принцип</w:t>
            </w:r>
            <w:r w:rsidR="00251DCF">
              <w:rPr>
                <w:szCs w:val="28"/>
                <w:shd w:val="clear" w:color="auto" w:fill="FFFFFF"/>
              </w:rPr>
              <w:t>ів</w:t>
            </w:r>
            <w:r w:rsidR="00251DCF" w:rsidRPr="00C63CD4">
              <w:rPr>
                <w:szCs w:val="28"/>
                <w:shd w:val="clear" w:color="auto" w:fill="FFFFFF"/>
              </w:rPr>
              <w:t xml:space="preserve"> державної регуляторної політики</w:t>
            </w:r>
            <w:r w:rsidR="00E72735">
              <w:rPr>
                <w:szCs w:val="28"/>
                <w:shd w:val="clear" w:color="auto" w:fill="FFFFFF"/>
              </w:rPr>
              <w:t xml:space="preserve"> та </w:t>
            </w:r>
            <w:r w:rsidR="0037181E">
              <w:rPr>
                <w:szCs w:val="28"/>
                <w:shd w:val="clear" w:color="auto" w:fill="FFFFFF"/>
              </w:rPr>
              <w:t xml:space="preserve">дозволить </w:t>
            </w:r>
            <w:r w:rsidR="0037181E" w:rsidRPr="00B23E82">
              <w:t>скасувати</w:t>
            </w:r>
            <w:r w:rsidR="00F90301">
              <w:t xml:space="preserve"> </w:t>
            </w:r>
            <w:r w:rsidR="0037181E"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одноосібне право орган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ів</w:t>
            </w:r>
            <w:r w:rsidR="0037181E"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з надання сервісних послуг МВС 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на видачу</w:t>
            </w:r>
            <w:r w:rsidR="0037181E" w:rsidRPr="003F685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бланків свідоцтв про закінчення закладу з підготовки, перепідготовки та підвищення кваліфікації водіїв</w:t>
            </w:r>
            <w:r w:rsidR="0037181E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. Натомість такі заклади матимуть можливість самостійно обирати підприємство-виробника відповідних бланків свідоцтв та здійснювати їх замовлення і закупівлю. </w:t>
            </w:r>
          </w:p>
          <w:p w:rsidR="0037181E" w:rsidRPr="00CD4FF2" w:rsidRDefault="0037181E" w:rsidP="0037181E">
            <w:pPr>
              <w:ind w:firstLine="601"/>
              <w:jc w:val="both"/>
              <w:rPr>
                <w:rFonts w:eastAsia="Calibri"/>
                <w:bCs/>
                <w:color w:val="000000" w:themeColor="text1"/>
                <w:szCs w:val="28"/>
                <w:lang w:eastAsia="en-US"/>
              </w:rPr>
            </w:pPr>
            <w:r w:rsidRP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Спрощується процедура здійс</w:t>
            </w:r>
            <w:r w:rsidR="00F90301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>нення обліку бланків свідоцтв:</w:t>
            </w:r>
            <w:r w:rsidRPr="00CD4FF2">
              <w:rPr>
                <w:rFonts w:eastAsia="Calibri"/>
                <w:bCs/>
                <w:color w:val="000000" w:themeColor="text1"/>
                <w:szCs w:val="28"/>
                <w:lang w:eastAsia="en-US"/>
              </w:rPr>
              <w:t xml:space="preserve"> </w:t>
            </w:r>
            <w:r w:rsidRPr="00CD4FF2">
              <w:rPr>
                <w:szCs w:val="28"/>
              </w:rPr>
              <w:lastRenderedPageBreak/>
              <w:t xml:space="preserve">внутрішній облік у закладі та контроль за використанням  бланків здійснюється </w:t>
            </w:r>
            <w:r w:rsidR="00F90301">
              <w:rPr>
                <w:szCs w:val="28"/>
              </w:rPr>
              <w:t>в</w:t>
            </w:r>
            <w:r w:rsidRPr="00CD4FF2">
              <w:rPr>
                <w:szCs w:val="28"/>
              </w:rPr>
              <w:t xml:space="preserve"> довільній формі, що дозволяє, </w:t>
            </w:r>
            <w:r w:rsidR="00F90301">
              <w:rPr>
                <w:szCs w:val="28"/>
              </w:rPr>
              <w:t>за</w:t>
            </w:r>
            <w:r w:rsidRPr="00CD4FF2">
              <w:rPr>
                <w:szCs w:val="28"/>
              </w:rPr>
              <w:t xml:space="preserve"> </w:t>
            </w:r>
            <w:r w:rsidR="00F90301">
              <w:rPr>
                <w:szCs w:val="28"/>
              </w:rPr>
              <w:t xml:space="preserve"> </w:t>
            </w:r>
            <w:r w:rsidRPr="00CD4FF2">
              <w:rPr>
                <w:szCs w:val="28"/>
              </w:rPr>
              <w:t>необхідності, отримати інформацію про час і підстави видачі кожного бланк</w:t>
            </w:r>
            <w:r w:rsidR="00F90301">
              <w:rPr>
                <w:szCs w:val="28"/>
              </w:rPr>
              <w:t>а</w:t>
            </w:r>
            <w:r w:rsidRPr="00CD4FF2">
              <w:rPr>
                <w:szCs w:val="28"/>
              </w:rPr>
              <w:t xml:space="preserve"> свідоцтва. </w:t>
            </w:r>
          </w:p>
          <w:p w:rsidR="00BF1958" w:rsidRPr="00C11766" w:rsidRDefault="00F90301" w:rsidP="00F90301">
            <w:pPr>
              <w:pStyle w:val="21"/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У</w:t>
            </w:r>
            <w:r w:rsidR="0037181E">
              <w:t xml:space="preserve"> цілому норми проекту регуляторного акта забезпечують </w:t>
            </w:r>
            <w:r w:rsidR="0037181E" w:rsidRPr="00C11766">
              <w:rPr>
                <w:szCs w:val="28"/>
              </w:rPr>
              <w:t>приведення</w:t>
            </w:r>
            <w:r w:rsidR="0037181E">
              <w:rPr>
                <w:szCs w:val="28"/>
              </w:rPr>
              <w:t xml:space="preserve"> процедури</w:t>
            </w:r>
            <w:r w:rsidR="00645257">
              <w:rPr>
                <w:szCs w:val="28"/>
              </w:rPr>
              <w:t xml:space="preserve"> </w:t>
            </w:r>
            <w:r w:rsidR="0037181E" w:rsidRPr="00C63CD4">
              <w:rPr>
                <w:szCs w:val="28"/>
                <w:shd w:val="clear" w:color="auto" w:fill="FFFFFF"/>
              </w:rPr>
              <w:t>видачі бланків свідоцтв про закінчення закладу з підготовки, перепідготовки та підвищення кваліфікації водіїв, а також порядку ведення обліку цих бланків свідоцтв та здійснення контролю за їх використанням</w:t>
            </w:r>
            <w:r w:rsidR="0037181E">
              <w:rPr>
                <w:szCs w:val="28"/>
                <w:shd w:val="clear" w:color="auto" w:fill="FFFFFF"/>
              </w:rPr>
              <w:t xml:space="preserve"> у  </w:t>
            </w:r>
            <w:r w:rsidR="0037181E" w:rsidRPr="00C63CD4">
              <w:rPr>
                <w:szCs w:val="28"/>
                <w:shd w:val="clear" w:color="auto" w:fill="FFFFFF"/>
              </w:rPr>
              <w:t>відповід</w:t>
            </w:r>
            <w:r w:rsidR="0037181E">
              <w:rPr>
                <w:szCs w:val="28"/>
                <w:shd w:val="clear" w:color="auto" w:fill="FFFFFF"/>
              </w:rPr>
              <w:t>ність</w:t>
            </w:r>
            <w:r w:rsidR="0037181E" w:rsidRPr="00C63CD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до </w:t>
            </w:r>
            <w:r w:rsidR="0037181E" w:rsidRPr="00C63CD4">
              <w:rPr>
                <w:szCs w:val="28"/>
                <w:shd w:val="clear" w:color="auto" w:fill="FFFFFF"/>
              </w:rPr>
              <w:t>вимог чинного законодавства та принцип</w:t>
            </w:r>
            <w:r>
              <w:rPr>
                <w:szCs w:val="28"/>
                <w:shd w:val="clear" w:color="auto" w:fill="FFFFFF"/>
              </w:rPr>
              <w:t>ів</w:t>
            </w:r>
            <w:r w:rsidR="0037181E" w:rsidRPr="00C63CD4">
              <w:rPr>
                <w:szCs w:val="28"/>
                <w:shd w:val="clear" w:color="auto" w:fill="FFFFFF"/>
              </w:rPr>
              <w:t xml:space="preserve"> державної регуляторної політики.</w:t>
            </w:r>
          </w:p>
        </w:tc>
        <w:tc>
          <w:tcPr>
            <w:tcW w:w="3283" w:type="dxa"/>
            <w:shd w:val="clear" w:color="auto" w:fill="auto"/>
          </w:tcPr>
          <w:p w:rsidR="00BF1958" w:rsidRPr="00C11766" w:rsidRDefault="00F90301" w:rsidP="00B317E9">
            <w:pPr>
              <w:pStyle w:val="21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Ризики в</w:t>
            </w:r>
            <w:r w:rsidR="00BF1958" w:rsidRPr="00C11766">
              <w:rPr>
                <w:color w:val="000000"/>
                <w:szCs w:val="28"/>
              </w:rPr>
              <w:t>ідсутні</w:t>
            </w:r>
          </w:p>
        </w:tc>
      </w:tr>
    </w:tbl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  <w:r w:rsidRPr="00C11766">
        <w:rPr>
          <w:b/>
          <w:color w:val="000000"/>
          <w:szCs w:val="28"/>
        </w:rPr>
        <w:t>V. Механізм та заходи, які забезпечать розв’язання визначеної проблеми</w:t>
      </w:r>
    </w:p>
    <w:p w:rsidR="00BF1958" w:rsidRPr="00B1666B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p w:rsidR="0037181E" w:rsidRDefault="00F90301" w:rsidP="0037181E">
      <w:pPr>
        <w:pStyle w:val="21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З метою</w:t>
      </w:r>
      <w:r w:rsidR="00BF1958" w:rsidRPr="00C11766">
        <w:rPr>
          <w:szCs w:val="28"/>
        </w:rPr>
        <w:t xml:space="preserve"> розв’язання проблеми </w:t>
      </w:r>
      <w:r w:rsidR="00BF1958" w:rsidRPr="00A13A17">
        <w:rPr>
          <w:i/>
          <w:szCs w:val="28"/>
        </w:rPr>
        <w:t>пропонується внести зміни</w:t>
      </w:r>
      <w:r w:rsidR="00BF1958" w:rsidRPr="00C11766">
        <w:rPr>
          <w:szCs w:val="28"/>
        </w:rPr>
        <w:t xml:space="preserve"> до </w:t>
      </w:r>
      <w:r w:rsidR="00251DCF" w:rsidRPr="00C63CD4">
        <w:rPr>
          <w:szCs w:val="28"/>
          <w:shd w:val="clear" w:color="auto" w:fill="FFFFFF"/>
        </w:rPr>
        <w:t>Інструкції</w:t>
      </w:r>
      <w:r w:rsidR="0037181E">
        <w:rPr>
          <w:szCs w:val="28"/>
          <w:shd w:val="clear" w:color="auto" w:fill="FFFFFF"/>
        </w:rPr>
        <w:t>:</w:t>
      </w:r>
    </w:p>
    <w:p w:rsidR="00AC5048" w:rsidRPr="009353B3" w:rsidRDefault="0037181E" w:rsidP="0037181E">
      <w:pPr>
        <w:pStyle w:val="21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353B3">
        <w:rPr>
          <w:color w:val="000000" w:themeColor="text1"/>
          <w:szCs w:val="28"/>
          <w:shd w:val="clear" w:color="auto" w:fill="FFFFFF"/>
        </w:rPr>
        <w:t xml:space="preserve">а) дії суб’єктів господарювання – </w:t>
      </w:r>
      <w:r w:rsidR="00AC5048" w:rsidRPr="009353B3">
        <w:rPr>
          <w:color w:val="000000" w:themeColor="text1"/>
          <w:szCs w:val="28"/>
          <w:shd w:val="clear" w:color="auto" w:fill="FFFFFF"/>
        </w:rPr>
        <w:t xml:space="preserve">замовлення </w:t>
      </w:r>
      <w:r w:rsidRPr="009353B3">
        <w:rPr>
          <w:color w:val="000000" w:themeColor="text1"/>
          <w:szCs w:val="28"/>
        </w:rPr>
        <w:t>бланк</w:t>
      </w:r>
      <w:r w:rsidR="00AC5048" w:rsidRPr="009353B3">
        <w:rPr>
          <w:color w:val="000000" w:themeColor="text1"/>
          <w:szCs w:val="28"/>
        </w:rPr>
        <w:t>ів</w:t>
      </w:r>
      <w:r w:rsidRPr="009353B3">
        <w:rPr>
          <w:color w:val="000000" w:themeColor="text1"/>
          <w:szCs w:val="28"/>
        </w:rPr>
        <w:t xml:space="preserve"> свідоцтв про закінчення закладу з підготовки, перепідготовки і підвищення кваліфікації водіїв самостійно </w:t>
      </w:r>
      <w:r w:rsidR="00F90301">
        <w:rPr>
          <w:color w:val="000000" w:themeColor="text1"/>
          <w:szCs w:val="28"/>
        </w:rPr>
        <w:t>в</w:t>
      </w:r>
      <w:r w:rsidRPr="009353B3">
        <w:rPr>
          <w:color w:val="000000" w:themeColor="text1"/>
          <w:szCs w:val="28"/>
        </w:rPr>
        <w:t xml:space="preserve"> підприємства-виробника</w:t>
      </w:r>
      <w:r w:rsidR="00AC5048" w:rsidRPr="009353B3">
        <w:rPr>
          <w:color w:val="000000" w:themeColor="text1"/>
          <w:szCs w:val="28"/>
        </w:rPr>
        <w:t xml:space="preserve">; ведення внутрішнього обліку бланків свідоцтв та контроль за їх використанням здійснюється </w:t>
      </w:r>
      <w:r w:rsidR="00F90301">
        <w:rPr>
          <w:color w:val="000000" w:themeColor="text1"/>
          <w:szCs w:val="28"/>
        </w:rPr>
        <w:t>в</w:t>
      </w:r>
      <w:r w:rsidR="00AC5048" w:rsidRPr="009353B3">
        <w:rPr>
          <w:color w:val="000000" w:themeColor="text1"/>
          <w:szCs w:val="28"/>
        </w:rPr>
        <w:t xml:space="preserve"> довільній формі;</w:t>
      </w:r>
    </w:p>
    <w:p w:rsidR="0037181E" w:rsidRDefault="00AC5048" w:rsidP="0037181E">
      <w:pPr>
        <w:pStyle w:val="21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б) дії </w:t>
      </w:r>
      <w:r w:rsidR="0081105A">
        <w:rPr>
          <w:szCs w:val="28"/>
        </w:rPr>
        <w:t xml:space="preserve">органів державної влади – виконання рішення Державної регуляторної служби </w:t>
      </w:r>
      <w:r w:rsidR="0081105A" w:rsidRPr="00C63CD4">
        <w:rPr>
          <w:szCs w:val="28"/>
          <w:shd w:val="clear" w:color="auto" w:fill="FFFFFF"/>
        </w:rPr>
        <w:t>України від 19 грудня 2016 року № 9 «Про необхідність усунення Міністерством внутрішніх справ України порушень принципів державної регуляторної політики згідно з вимогами Закону України «Про засади державної регуляторної політики у сфері господарської діяльності»</w:t>
      </w:r>
      <w:r w:rsidR="0081105A">
        <w:rPr>
          <w:szCs w:val="28"/>
          <w:shd w:val="clear" w:color="auto" w:fill="FFFFFF"/>
        </w:rPr>
        <w:t>;</w:t>
      </w:r>
      <w:r w:rsidR="00F90301">
        <w:rPr>
          <w:szCs w:val="28"/>
          <w:shd w:val="clear" w:color="auto" w:fill="FFFFFF"/>
        </w:rPr>
        <w:t xml:space="preserve"> </w:t>
      </w:r>
      <w:r w:rsidR="0081105A" w:rsidRPr="003F685E">
        <w:rPr>
          <w:szCs w:val="28"/>
        </w:rPr>
        <w:t xml:space="preserve">приведення </w:t>
      </w:r>
      <w:r w:rsidR="0081105A" w:rsidRPr="003F685E">
        <w:rPr>
          <w:szCs w:val="28"/>
          <w:shd w:val="clear" w:color="auto" w:fill="FFFFFF"/>
        </w:rPr>
        <w:t xml:space="preserve">Інструкції у відповідність до вимог Закону України «Про засади державної регуляторної політики у сфері господарської діяльності», «Про </w:t>
      </w:r>
      <w:r w:rsidR="0081105A" w:rsidRPr="003F685E">
        <w:rPr>
          <w:szCs w:val="28"/>
          <w:shd w:val="clear" w:color="auto" w:fill="FFFFFF"/>
        </w:rPr>
        <w:lastRenderedPageBreak/>
        <w:t xml:space="preserve">дорожній рух» </w:t>
      </w:r>
      <w:r w:rsidR="0081105A" w:rsidRPr="003F685E">
        <w:rPr>
          <w:color w:val="000000" w:themeColor="text1"/>
          <w:szCs w:val="28"/>
          <w:shd w:val="clear" w:color="auto" w:fill="FFFFFF"/>
        </w:rPr>
        <w:t xml:space="preserve">та постанов </w:t>
      </w:r>
      <w:r w:rsidR="0081105A" w:rsidRPr="003F685E">
        <w:rPr>
          <w:szCs w:val="28"/>
          <w:shd w:val="clear" w:color="auto" w:fill="FFFFFF"/>
        </w:rPr>
        <w:t>Кабінету Міністрів України від 08 травня 1993 року  № 340 «Про затвердження Положення про порядок видачі посвідчень водія та допуску громадян до керування</w:t>
      </w:r>
      <w:r w:rsidR="009353B3">
        <w:rPr>
          <w:szCs w:val="28"/>
          <w:shd w:val="clear" w:color="auto" w:fill="FFFFFF"/>
        </w:rPr>
        <w:t xml:space="preserve"> </w:t>
      </w:r>
      <w:r w:rsidR="0081105A" w:rsidRPr="003F685E">
        <w:rPr>
          <w:szCs w:val="28"/>
          <w:shd w:val="clear" w:color="auto" w:fill="FFFFFF"/>
        </w:rPr>
        <w:t xml:space="preserve">транспортними засобами», від 20 травня </w:t>
      </w:r>
      <w:r w:rsidR="00F90301">
        <w:rPr>
          <w:szCs w:val="28"/>
          <w:shd w:val="clear" w:color="auto" w:fill="FFFFFF"/>
        </w:rPr>
        <w:t xml:space="preserve">                 </w:t>
      </w:r>
      <w:r w:rsidR="0081105A" w:rsidRPr="003F685E">
        <w:rPr>
          <w:szCs w:val="28"/>
          <w:shd w:val="clear" w:color="auto" w:fill="FFFFFF"/>
        </w:rPr>
        <w:t>2009 року № 487 «</w:t>
      </w:r>
      <w:r w:rsidR="0081105A" w:rsidRPr="003F685E">
        <w:rPr>
          <w:bCs/>
          <w:szCs w:val="28"/>
          <w:bdr w:val="none" w:sz="0" w:space="0" w:color="auto" w:frame="1"/>
          <w:lang w:eastAsia="uk-UA"/>
        </w:rPr>
        <w:t xml:space="preserve">Про затвердження Порядку підготовки, </w:t>
      </w:r>
      <w:r w:rsidR="0081105A" w:rsidRPr="003F685E">
        <w:rPr>
          <w:bCs/>
          <w:color w:val="000000"/>
          <w:szCs w:val="28"/>
          <w:bdr w:val="none" w:sz="0" w:space="0" w:color="auto" w:frame="1"/>
          <w:lang w:eastAsia="uk-UA"/>
        </w:rPr>
        <w:t>перепідгот</w:t>
      </w:r>
      <w:r w:rsidR="0081105A">
        <w:rPr>
          <w:bCs/>
          <w:color w:val="000000"/>
          <w:szCs w:val="28"/>
          <w:bdr w:val="none" w:sz="0" w:space="0" w:color="auto" w:frame="1"/>
          <w:lang w:eastAsia="uk-UA"/>
        </w:rPr>
        <w:t xml:space="preserve">овки і підвищення кваліфікації </w:t>
      </w:r>
      <w:r w:rsidR="0081105A" w:rsidRPr="003F685E">
        <w:rPr>
          <w:bCs/>
          <w:color w:val="000000"/>
          <w:szCs w:val="28"/>
          <w:bdr w:val="none" w:sz="0" w:space="0" w:color="auto" w:frame="1"/>
          <w:lang w:eastAsia="uk-UA"/>
        </w:rPr>
        <w:t>водіїв транспортних засобів</w:t>
      </w:r>
      <w:r w:rsidR="0081105A">
        <w:rPr>
          <w:bCs/>
          <w:szCs w:val="28"/>
          <w:bdr w:val="none" w:sz="0" w:space="0" w:color="auto" w:frame="1"/>
          <w:lang w:eastAsia="uk-UA"/>
        </w:rPr>
        <w:t>», від 20 травня 2009 року № 4</w:t>
      </w:r>
      <w:r w:rsidR="0081105A" w:rsidRPr="003F685E">
        <w:rPr>
          <w:bCs/>
          <w:szCs w:val="28"/>
          <w:bdr w:val="none" w:sz="0" w:space="0" w:color="auto" w:frame="1"/>
          <w:lang w:eastAsia="uk-UA"/>
        </w:rPr>
        <w:t>90 «</w:t>
      </w:r>
      <w:r w:rsidR="0081105A">
        <w:rPr>
          <w:bCs/>
          <w:szCs w:val="28"/>
          <w:bdr w:val="none" w:sz="0" w:space="0" w:color="auto" w:frame="1"/>
          <w:lang w:eastAsia="uk-UA"/>
        </w:rPr>
        <w:t xml:space="preserve">Про затвердження Порядку державної </w:t>
      </w:r>
      <w:r w:rsidR="0081105A" w:rsidRPr="003F685E">
        <w:rPr>
          <w:bCs/>
          <w:color w:val="000000"/>
          <w:szCs w:val="28"/>
          <w:bdr w:val="none" w:sz="0" w:space="0" w:color="auto" w:frame="1"/>
          <w:lang w:eastAsia="uk-UA"/>
        </w:rPr>
        <w:t>акредитації закл</w:t>
      </w:r>
      <w:r w:rsidR="0081105A">
        <w:rPr>
          <w:bCs/>
          <w:szCs w:val="28"/>
          <w:bdr w:val="none" w:sz="0" w:space="0" w:color="auto" w:frame="1"/>
          <w:lang w:eastAsia="uk-UA"/>
        </w:rPr>
        <w:t xml:space="preserve">адів, що проводять підготовку, </w:t>
      </w:r>
      <w:r w:rsidR="0081105A" w:rsidRPr="003F685E">
        <w:rPr>
          <w:bCs/>
          <w:color w:val="000000"/>
          <w:szCs w:val="28"/>
          <w:bdr w:val="none" w:sz="0" w:space="0" w:color="auto" w:frame="1"/>
          <w:lang w:eastAsia="uk-UA"/>
        </w:rPr>
        <w:t>перепідгот</w:t>
      </w:r>
      <w:r w:rsidR="0081105A">
        <w:rPr>
          <w:bCs/>
          <w:szCs w:val="28"/>
          <w:bdr w:val="none" w:sz="0" w:space="0" w:color="auto" w:frame="1"/>
          <w:lang w:eastAsia="uk-UA"/>
        </w:rPr>
        <w:t xml:space="preserve">овку і підвищення кваліфікації водіїв транспортних засобів, </w:t>
      </w:r>
      <w:r w:rsidR="0081105A" w:rsidRPr="003F685E">
        <w:rPr>
          <w:bCs/>
          <w:color w:val="000000"/>
          <w:szCs w:val="28"/>
          <w:bdr w:val="none" w:sz="0" w:space="0" w:color="auto" w:frame="1"/>
          <w:lang w:eastAsia="uk-UA"/>
        </w:rPr>
        <w:t>та атестації їх спеціалістів</w:t>
      </w:r>
      <w:r w:rsidR="0081105A" w:rsidRPr="003F685E">
        <w:rPr>
          <w:bCs/>
          <w:szCs w:val="28"/>
          <w:bdr w:val="none" w:sz="0" w:space="0" w:color="auto" w:frame="1"/>
          <w:lang w:eastAsia="uk-UA"/>
        </w:rPr>
        <w:t>»,</w:t>
      </w:r>
      <w:r w:rsidR="0081105A" w:rsidRPr="003F685E">
        <w:rPr>
          <w:szCs w:val="28"/>
          <w:shd w:val="clear" w:color="auto" w:fill="FFFFFF"/>
        </w:rPr>
        <w:t xml:space="preserve"> а також </w:t>
      </w:r>
      <w:r w:rsidR="0081105A" w:rsidRPr="003F685E">
        <w:rPr>
          <w:color w:val="000000" w:themeColor="text1"/>
          <w:szCs w:val="28"/>
          <w:shd w:val="clear" w:color="auto" w:fill="FFFFFF"/>
        </w:rPr>
        <w:t>спрощення</w:t>
      </w:r>
      <w:r w:rsidR="0081105A" w:rsidRPr="003F685E">
        <w:rPr>
          <w:szCs w:val="28"/>
          <w:shd w:val="clear" w:color="auto" w:fill="FFFFFF"/>
        </w:rPr>
        <w:t xml:space="preserve"> механізму державного регулювання щодо процедури видачі </w:t>
      </w:r>
      <w:r w:rsidR="0081105A">
        <w:rPr>
          <w:szCs w:val="28"/>
          <w:shd w:val="clear" w:color="auto" w:fill="FFFFFF"/>
        </w:rPr>
        <w:t xml:space="preserve">відповідних </w:t>
      </w:r>
      <w:r w:rsidR="0081105A" w:rsidRPr="003F685E">
        <w:rPr>
          <w:szCs w:val="28"/>
          <w:shd w:val="clear" w:color="auto" w:fill="FFFFFF"/>
        </w:rPr>
        <w:t>бланків свідоцтв</w:t>
      </w:r>
      <w:r w:rsidR="0081105A">
        <w:rPr>
          <w:szCs w:val="28"/>
          <w:shd w:val="clear" w:color="auto" w:fill="FFFFFF"/>
        </w:rPr>
        <w:t>.</w:t>
      </w:r>
    </w:p>
    <w:p w:rsidR="00C73620" w:rsidRDefault="00C73620" w:rsidP="0081105A">
      <w:pPr>
        <w:pStyle w:val="21"/>
        <w:spacing w:after="0" w:line="240" w:lineRule="auto"/>
        <w:jc w:val="both"/>
        <w:rPr>
          <w:szCs w:val="28"/>
        </w:rPr>
      </w:pPr>
    </w:p>
    <w:p w:rsidR="00BF1958" w:rsidRPr="00C73620" w:rsidRDefault="00BF1958" w:rsidP="00C7362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C11766">
        <w:rPr>
          <w:b/>
          <w:color w:val="000000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  <w:r w:rsidRPr="00C11766">
        <w:rPr>
          <w:color w:val="000000"/>
          <w:szCs w:val="28"/>
        </w:rPr>
        <w:t>Органи виконавчої влади чи органи місцевого самоврядування додаткових витрат не зазнають.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  <w:r w:rsidRPr="00C11766">
        <w:rPr>
          <w:color w:val="000000"/>
          <w:szCs w:val="28"/>
        </w:rPr>
        <w:t xml:space="preserve">Розроблено </w:t>
      </w:r>
      <w:r>
        <w:rPr>
          <w:color w:val="000000"/>
          <w:szCs w:val="28"/>
        </w:rPr>
        <w:t>тест малого підприємства (М-Тест) відповідно до додатка</w:t>
      </w:r>
      <w:r w:rsidRPr="00C11766">
        <w:rPr>
          <w:color w:val="000000"/>
          <w:szCs w:val="28"/>
        </w:rPr>
        <w:t xml:space="preserve"> 4 до Методики. </w:t>
      </w:r>
      <w:r w:rsidR="00F90301">
        <w:rPr>
          <w:color w:val="000000"/>
          <w:szCs w:val="28"/>
        </w:rPr>
        <w:t>Кількість суб’єктів</w:t>
      </w:r>
      <w:r w:rsidRPr="00C11766">
        <w:rPr>
          <w:color w:val="000000"/>
          <w:szCs w:val="28"/>
        </w:rPr>
        <w:t xml:space="preserve"> малого підприємництва в загальній кількості суб’єктів господарювання, на яких поширюється регулювання</w:t>
      </w:r>
      <w:r w:rsidR="00F90301">
        <w:rPr>
          <w:color w:val="000000"/>
          <w:szCs w:val="28"/>
        </w:rPr>
        <w:t>,</w:t>
      </w:r>
      <w:r w:rsidRPr="00C11766">
        <w:rPr>
          <w:color w:val="000000"/>
          <w:szCs w:val="28"/>
        </w:rPr>
        <w:t xml:space="preserve"> більше 10%.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  <w:r w:rsidRPr="00C11766">
        <w:rPr>
          <w:b/>
          <w:color w:val="000000"/>
          <w:szCs w:val="28"/>
        </w:rPr>
        <w:t>VII. Обґрунтування запропонованого строку дії регуляторного акта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Строк дії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регуляторного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акта не обмежений у часі.</w:t>
      </w: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Зміна строку дії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регуляторного 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акта можлива в разі зміни правових актів, на вимогах яких базується проект. </w:t>
      </w: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Строк набрання чинності регуляторним актом: </w:t>
      </w:r>
      <w:r w:rsidR="00F90301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законодавств</w:t>
      </w:r>
      <w:r w:rsidR="00F90301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>, – після його офіційного оприлюднення.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  <w:r w:rsidRPr="00C11766">
        <w:rPr>
          <w:b/>
          <w:color w:val="000000"/>
          <w:szCs w:val="28"/>
        </w:rPr>
        <w:t>VIII. Визначення показників результативності дії регуляторного акта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center"/>
        <w:rPr>
          <w:b/>
          <w:color w:val="000000"/>
          <w:szCs w:val="28"/>
        </w:rPr>
      </w:pPr>
    </w:p>
    <w:p w:rsidR="00BF1958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>Показниками резуль</w:t>
      </w:r>
      <w:r w:rsidR="0025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тативності регуляторного акта є 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належної діяльності навчальних закладів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здійснюють підготовку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>, перепідготовк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підвищення кваліфікації водіїв транспортних засобів</w:t>
      </w:r>
      <w:r w:rsidR="00251DC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Кількість суб’єктів господарювання, на яких поширюється дія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регуляторного 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акта, – дія акта поширюється на всіх суб’єктів господарювання, які здійснюють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підготовку, перепідготовку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підвищення кваліфікації водіїв транспортних засобів (1</w:t>
      </w:r>
      <w:r w:rsidR="00EF0245">
        <w:rPr>
          <w:rFonts w:ascii="Times New Roman" w:hAnsi="Times New Roman" w:cs="Times New Roman"/>
          <w:bCs/>
          <w:sz w:val="28"/>
          <w:szCs w:val="28"/>
          <w:lang w:val="uk-UA"/>
        </w:rPr>
        <w:t>648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навчальних закладів, що проводять підготовку, перепідготовку та підвищення кваліфікації водії</w:t>
      </w:r>
      <w:r w:rsidR="00F9030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>, які пройшли державну акредитацію та отримали відповідний сертифікат).</w:t>
      </w: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Час, що витрачається суб’єктами господарювання, пов’язаними з виконанням акта, – </w:t>
      </w:r>
      <w:r w:rsidR="0040554B" w:rsidRPr="009353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один раз на рік</w:t>
      </w:r>
      <w:r w:rsidRPr="009353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Рівень поінформованості суб’єктів господарювання стосовно основних положень регуляторного акта – середній. </w:t>
      </w:r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розміщено на офіційному веб-сайті МВС: </w:t>
      </w:r>
      <w:hyperlink r:id="rId8" w:history="1">
        <w:r w:rsidRPr="00C11766">
          <w:rPr>
            <w:rStyle w:val="a5"/>
            <w:rFonts w:ascii="Times New Roman" w:hAnsi="Times New Roman" w:cs="Times New Roman"/>
            <w:bCs/>
            <w:sz w:val="28"/>
            <w:lang w:val="uk-UA"/>
          </w:rPr>
          <w:t>http://www.mvs.gov.ua/</w:t>
        </w:r>
      </w:hyperlink>
      <w:r w:rsidRPr="00C11766">
        <w:rPr>
          <w:rFonts w:ascii="Times New Roman" w:hAnsi="Times New Roman" w:cs="Times New Roman"/>
          <w:bCs/>
          <w:sz w:val="28"/>
          <w:szCs w:val="28"/>
          <w:lang w:val="uk-UA"/>
        </w:rPr>
        <w:t>. Додатково буде проведено опитування серед суб’єктів господарювання стосовно дії положень акта в разі надходження пропозицій та зауважень.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color w:val="000000"/>
          <w:szCs w:val="28"/>
        </w:rPr>
      </w:pP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b/>
          <w:color w:val="000000"/>
          <w:szCs w:val="28"/>
        </w:rPr>
      </w:pPr>
      <w:r w:rsidRPr="00C11766">
        <w:rPr>
          <w:b/>
          <w:color w:val="000000"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BF1958" w:rsidRPr="00C11766" w:rsidRDefault="00BF1958" w:rsidP="00BF1958">
      <w:pPr>
        <w:pStyle w:val="21"/>
        <w:spacing w:after="0" w:line="240" w:lineRule="auto"/>
        <w:ind w:firstLine="851"/>
        <w:jc w:val="both"/>
        <w:rPr>
          <w:b/>
          <w:color w:val="000000"/>
          <w:szCs w:val="28"/>
        </w:rPr>
      </w:pPr>
    </w:p>
    <w:p w:rsidR="00BF1958" w:rsidRPr="00C11766" w:rsidRDefault="00BF1958" w:rsidP="00BF1958">
      <w:pPr>
        <w:ind w:firstLine="720"/>
        <w:jc w:val="both"/>
        <w:rPr>
          <w:szCs w:val="28"/>
        </w:rPr>
      </w:pPr>
      <w:r w:rsidRPr="00C11766">
        <w:rPr>
          <w:szCs w:val="28"/>
        </w:rPr>
        <w:t xml:space="preserve">Стосовно регуляторного акта уповноваженим органом виконавчої влади буде здійснюватися базове, повторне та періодичне відстеження його результативності </w:t>
      </w:r>
      <w:r w:rsidR="00B67538">
        <w:rPr>
          <w:szCs w:val="28"/>
        </w:rPr>
        <w:t>у</w:t>
      </w:r>
      <w:r w:rsidRPr="00C11766">
        <w:rPr>
          <w:szCs w:val="28"/>
        </w:rPr>
        <w:t xml:space="preserve">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865903" w:rsidRPr="00865903" w:rsidRDefault="00865903" w:rsidP="00865903">
      <w:pPr>
        <w:ind w:firstLine="720"/>
        <w:jc w:val="both"/>
        <w:rPr>
          <w:szCs w:val="28"/>
        </w:rPr>
      </w:pPr>
      <w:r w:rsidRPr="00865903">
        <w:rPr>
          <w:szCs w:val="28"/>
        </w:rPr>
        <w:t xml:space="preserve">Базове відстеження результативності акта буде здійснено після набрання чинності цим актом шляхом аналізу статистичних </w:t>
      </w:r>
      <w:r w:rsidR="00BF2AC4">
        <w:rPr>
          <w:szCs w:val="28"/>
        </w:rPr>
        <w:t xml:space="preserve">та аналітичних </w:t>
      </w:r>
      <w:r w:rsidRPr="00865903">
        <w:rPr>
          <w:szCs w:val="28"/>
        </w:rPr>
        <w:t xml:space="preserve">даних про </w:t>
      </w:r>
      <w:r w:rsidRPr="009353B3">
        <w:rPr>
          <w:color w:val="000000" w:themeColor="text1"/>
          <w:szCs w:val="28"/>
        </w:rPr>
        <w:t>кількість</w:t>
      </w:r>
      <w:r w:rsidR="00C86CC1" w:rsidRPr="009353B3">
        <w:rPr>
          <w:color w:val="000000" w:themeColor="text1"/>
          <w:szCs w:val="28"/>
        </w:rPr>
        <w:t xml:space="preserve"> акредитованих навчальних</w:t>
      </w:r>
      <w:r w:rsidR="00C86CC1">
        <w:rPr>
          <w:szCs w:val="28"/>
        </w:rPr>
        <w:t xml:space="preserve"> закладів, кількість</w:t>
      </w:r>
      <w:r w:rsidRPr="00865903">
        <w:rPr>
          <w:szCs w:val="28"/>
        </w:rPr>
        <w:t xml:space="preserve"> погодже</w:t>
      </w:r>
      <w:r w:rsidR="00BF2AC4">
        <w:rPr>
          <w:szCs w:val="28"/>
        </w:rPr>
        <w:t>них</w:t>
      </w:r>
      <w:r w:rsidRPr="00865903">
        <w:rPr>
          <w:szCs w:val="28"/>
        </w:rPr>
        <w:t xml:space="preserve"> зразків бланків свідоцтв та </w:t>
      </w:r>
      <w:r w:rsidR="00BF2AC4">
        <w:rPr>
          <w:szCs w:val="28"/>
        </w:rPr>
        <w:t xml:space="preserve">кількість </w:t>
      </w:r>
      <w:r w:rsidRPr="00865903">
        <w:rPr>
          <w:szCs w:val="28"/>
        </w:rPr>
        <w:t>відмов</w:t>
      </w:r>
      <w:r w:rsidR="00F90301">
        <w:rPr>
          <w:szCs w:val="28"/>
        </w:rPr>
        <w:t xml:space="preserve"> </w:t>
      </w:r>
      <w:r w:rsidR="00B43D10">
        <w:rPr>
          <w:szCs w:val="28"/>
        </w:rPr>
        <w:t>у таких</w:t>
      </w:r>
      <w:r w:rsidR="00BF2AC4">
        <w:rPr>
          <w:szCs w:val="28"/>
        </w:rPr>
        <w:t xml:space="preserve"> погодження</w:t>
      </w:r>
      <w:r w:rsidR="00B43D10">
        <w:rPr>
          <w:szCs w:val="28"/>
        </w:rPr>
        <w:t>х</w:t>
      </w:r>
      <w:r w:rsidRPr="00865903">
        <w:rPr>
          <w:szCs w:val="28"/>
        </w:rPr>
        <w:t>, кільк</w:t>
      </w:r>
      <w:r w:rsidR="00F90301">
        <w:rPr>
          <w:szCs w:val="28"/>
        </w:rPr>
        <w:t>ість</w:t>
      </w:r>
      <w:r w:rsidRPr="00865903">
        <w:rPr>
          <w:szCs w:val="28"/>
        </w:rPr>
        <w:t xml:space="preserve"> виявлених недійсних бланків свідоцтв та внесених </w:t>
      </w:r>
      <w:r w:rsidR="00F90301">
        <w:rPr>
          <w:szCs w:val="28"/>
        </w:rPr>
        <w:t>р</w:t>
      </w:r>
      <w:r w:rsidRPr="00865903">
        <w:rPr>
          <w:szCs w:val="28"/>
        </w:rPr>
        <w:t>егіональними сервісними центрами МВС до Головного сервісного  центру МВС подань про припинення дії сертифіката про державну акредитацію в разі виявлення порушень вимог навчальними закладами.</w:t>
      </w:r>
    </w:p>
    <w:p w:rsidR="00865903" w:rsidRPr="00865903" w:rsidRDefault="00865903" w:rsidP="00865903">
      <w:pPr>
        <w:ind w:firstLine="720"/>
        <w:jc w:val="both"/>
        <w:rPr>
          <w:szCs w:val="28"/>
        </w:rPr>
      </w:pPr>
      <w:r w:rsidRPr="00865903">
        <w:rPr>
          <w:szCs w:val="28"/>
        </w:rPr>
        <w:t>Аналіз та підрахунок статистичних даних буде здійснюватис</w:t>
      </w:r>
      <w:r w:rsidR="00F90301">
        <w:rPr>
          <w:szCs w:val="28"/>
        </w:rPr>
        <w:t>я</w:t>
      </w:r>
      <w:r w:rsidRPr="00865903">
        <w:rPr>
          <w:szCs w:val="28"/>
        </w:rPr>
        <w:t xml:space="preserve"> за допомогою Єдиного державного реєстру МВС.</w:t>
      </w:r>
    </w:p>
    <w:p w:rsidR="00BF1958" w:rsidRPr="00C11766" w:rsidRDefault="00BF1958" w:rsidP="00BF1958">
      <w:pPr>
        <w:ind w:firstLine="720"/>
        <w:jc w:val="both"/>
        <w:rPr>
          <w:szCs w:val="28"/>
        </w:rPr>
      </w:pPr>
      <w:r w:rsidRPr="00C11766">
        <w:rPr>
          <w:szCs w:val="28"/>
        </w:rPr>
        <w:t>Повторне відстеження буде здійснюватися через рік після набрання чинності цим р</w:t>
      </w:r>
      <w:r w:rsidR="00F90301">
        <w:rPr>
          <w:szCs w:val="28"/>
        </w:rPr>
        <w:t xml:space="preserve">егуляторним актом, у результаті </w:t>
      </w:r>
      <w:r w:rsidRPr="00C11766">
        <w:rPr>
          <w:szCs w:val="28"/>
        </w:rPr>
        <w:t>відбудеться порівняння показників базового та повторного відстеження.</w:t>
      </w:r>
    </w:p>
    <w:p w:rsidR="00BF1958" w:rsidRPr="00C11766" w:rsidRDefault="00BF1958" w:rsidP="00BF1958">
      <w:pPr>
        <w:ind w:firstLine="720"/>
        <w:jc w:val="both"/>
        <w:rPr>
          <w:szCs w:val="28"/>
        </w:rPr>
      </w:pPr>
      <w:r w:rsidRPr="00C11766">
        <w:rPr>
          <w:szCs w:val="28"/>
        </w:rPr>
        <w:t>Періодичне відстеження здійснюватиметься раз на три роки, починаючи з дня виконання заходів з повторного відстеження результативності.</w:t>
      </w:r>
    </w:p>
    <w:p w:rsidR="00BF1958" w:rsidRPr="00C11766" w:rsidRDefault="00BF1958" w:rsidP="00BF1958">
      <w:pPr>
        <w:ind w:firstLine="720"/>
        <w:jc w:val="both"/>
        <w:rPr>
          <w:szCs w:val="28"/>
        </w:rPr>
      </w:pPr>
      <w:r w:rsidRPr="00C11766">
        <w:rPr>
          <w:szCs w:val="28"/>
        </w:rPr>
        <w:t>Цільові групи, які залучатимуться для проведення відстеження,– суб’єкти господарювання, які отримали сертифікат про державну акредитацію та здійснюють навчання з</w:t>
      </w:r>
      <w:r w:rsidR="009353B3">
        <w:rPr>
          <w:szCs w:val="28"/>
        </w:rPr>
        <w:t xml:space="preserve"> </w:t>
      </w:r>
      <w:r w:rsidRPr="00C11766">
        <w:rPr>
          <w:szCs w:val="28"/>
        </w:rPr>
        <w:t>підготовки, перепідготовки і підвищення кваліфіка</w:t>
      </w:r>
      <w:r>
        <w:rPr>
          <w:szCs w:val="28"/>
        </w:rPr>
        <w:t>ції</w:t>
      </w:r>
      <w:r w:rsidR="00F90301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  <w:r w:rsidR="00FE4069">
        <w:rPr>
          <w:szCs w:val="28"/>
        </w:rPr>
        <w:t xml:space="preserve"> </w:t>
      </w:r>
    </w:p>
    <w:p w:rsidR="00BF1958" w:rsidRDefault="00BF1958" w:rsidP="00BF1958">
      <w:pPr>
        <w:ind w:firstLine="720"/>
        <w:jc w:val="both"/>
        <w:rPr>
          <w:szCs w:val="28"/>
        </w:rPr>
      </w:pPr>
    </w:p>
    <w:p w:rsidR="00BF1958" w:rsidRPr="00C11766" w:rsidRDefault="00BF1958" w:rsidP="00BF1958">
      <w:pPr>
        <w:ind w:firstLine="720"/>
        <w:jc w:val="both"/>
        <w:rPr>
          <w:szCs w:val="28"/>
        </w:rPr>
      </w:pPr>
    </w:p>
    <w:p w:rsidR="00BF1958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766">
        <w:rPr>
          <w:rFonts w:ascii="Times New Roman" w:hAnsi="Times New Roman"/>
          <w:b/>
          <w:sz w:val="28"/>
          <w:szCs w:val="28"/>
          <w:lang w:val="uk-UA"/>
        </w:rPr>
        <w:t>Міністр внутрішніх справ України</w:t>
      </w:r>
      <w:r w:rsidRPr="00C11766">
        <w:rPr>
          <w:rFonts w:ascii="Times New Roman" w:hAnsi="Times New Roman"/>
          <w:b/>
          <w:sz w:val="28"/>
          <w:szCs w:val="28"/>
          <w:lang w:val="uk-UA"/>
        </w:rPr>
        <w:tab/>
      </w:r>
      <w:r w:rsidRPr="00C11766">
        <w:rPr>
          <w:rFonts w:ascii="Times New Roman" w:hAnsi="Times New Roman"/>
          <w:b/>
          <w:sz w:val="28"/>
          <w:szCs w:val="28"/>
          <w:lang w:val="uk-UA"/>
        </w:rPr>
        <w:tab/>
      </w:r>
      <w:r w:rsidRPr="00C11766">
        <w:rPr>
          <w:rFonts w:ascii="Times New Roman" w:hAnsi="Times New Roman"/>
          <w:b/>
          <w:sz w:val="28"/>
          <w:szCs w:val="28"/>
          <w:lang w:val="uk-UA"/>
        </w:rPr>
        <w:tab/>
      </w:r>
      <w:r w:rsidRPr="00C11766">
        <w:rPr>
          <w:rFonts w:ascii="Times New Roman" w:hAnsi="Times New Roman"/>
          <w:b/>
          <w:sz w:val="28"/>
          <w:szCs w:val="28"/>
          <w:lang w:val="uk-UA"/>
        </w:rPr>
        <w:tab/>
      </w:r>
      <w:r w:rsidRPr="00C11766">
        <w:rPr>
          <w:rFonts w:ascii="Times New Roman" w:hAnsi="Times New Roman"/>
          <w:b/>
          <w:sz w:val="28"/>
          <w:szCs w:val="28"/>
          <w:lang w:val="uk-UA"/>
        </w:rPr>
        <w:tab/>
        <w:t xml:space="preserve">  А.Б. </w:t>
      </w:r>
      <w:proofErr w:type="spellStart"/>
      <w:r w:rsidRPr="00C11766">
        <w:rPr>
          <w:rFonts w:ascii="Times New Roman" w:hAnsi="Times New Roman"/>
          <w:b/>
          <w:sz w:val="28"/>
          <w:szCs w:val="28"/>
          <w:lang w:val="uk-UA"/>
        </w:rPr>
        <w:t>Аваков</w:t>
      </w:r>
      <w:proofErr w:type="spellEnd"/>
    </w:p>
    <w:p w:rsidR="00BF1958" w:rsidRPr="00C11766" w:rsidRDefault="00BF1958" w:rsidP="00BF19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1958" w:rsidRPr="009A60D8" w:rsidRDefault="00BF1958" w:rsidP="00BF1958">
      <w:pPr>
        <w:rPr>
          <w:szCs w:val="28"/>
        </w:rPr>
      </w:pPr>
      <w:r w:rsidRPr="00C11766">
        <w:rPr>
          <w:szCs w:val="28"/>
        </w:rPr>
        <w:t>_____  __________ 201</w:t>
      </w:r>
      <w:r>
        <w:rPr>
          <w:szCs w:val="28"/>
          <w:lang w:val="en-US"/>
        </w:rPr>
        <w:t>7</w:t>
      </w:r>
      <w:r w:rsidRPr="00C11766">
        <w:rPr>
          <w:szCs w:val="28"/>
        </w:rPr>
        <w:t xml:space="preserve"> року</w:t>
      </w:r>
    </w:p>
    <w:p w:rsidR="00BF1958" w:rsidRPr="00BF1958" w:rsidRDefault="00BF1958" w:rsidP="00150F2D">
      <w:pPr>
        <w:ind w:firstLine="709"/>
        <w:contextualSpacing/>
        <w:jc w:val="both"/>
        <w:rPr>
          <w:szCs w:val="28"/>
          <w:shd w:val="clear" w:color="auto" w:fill="FFFFFF"/>
          <w:lang w:val="en-US"/>
        </w:rPr>
      </w:pPr>
    </w:p>
    <w:p w:rsidR="00BF1958" w:rsidRDefault="00BF1958" w:rsidP="00150F2D">
      <w:pPr>
        <w:ind w:firstLine="709"/>
        <w:contextualSpacing/>
        <w:jc w:val="both"/>
        <w:rPr>
          <w:szCs w:val="28"/>
          <w:shd w:val="clear" w:color="auto" w:fill="FFFFFF"/>
          <w:lang w:val="en-US"/>
        </w:rPr>
      </w:pPr>
    </w:p>
    <w:p w:rsidR="00BF1958" w:rsidRPr="00BF1958" w:rsidRDefault="00BF1958" w:rsidP="00150F2D">
      <w:pPr>
        <w:ind w:firstLine="709"/>
        <w:contextualSpacing/>
        <w:jc w:val="both"/>
        <w:rPr>
          <w:szCs w:val="28"/>
          <w:lang w:val="en-US"/>
        </w:rPr>
      </w:pPr>
    </w:p>
    <w:p w:rsidR="000725F2" w:rsidRDefault="000725F2"/>
    <w:sectPr w:rsidR="000725F2" w:rsidSect="00BB45D0">
      <w:headerReference w:type="default" r:id="rId9"/>
      <w:pgSz w:w="11906" w:h="16838"/>
      <w:pgMar w:top="850" w:right="850" w:bottom="993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23" w:rsidRDefault="00FA7223" w:rsidP="007D3C38">
      <w:r>
        <w:separator/>
      </w:r>
    </w:p>
  </w:endnote>
  <w:endnote w:type="continuationSeparator" w:id="0">
    <w:p w:rsidR="00FA7223" w:rsidRDefault="00FA7223" w:rsidP="007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23" w:rsidRDefault="00FA7223" w:rsidP="007D3C38">
      <w:r>
        <w:separator/>
      </w:r>
    </w:p>
  </w:footnote>
  <w:footnote w:type="continuationSeparator" w:id="0">
    <w:p w:rsidR="00FA7223" w:rsidRDefault="00FA7223" w:rsidP="007D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520556"/>
      <w:docPartObj>
        <w:docPartGallery w:val="Page Numbers (Top of Page)"/>
        <w:docPartUnique/>
      </w:docPartObj>
    </w:sdtPr>
    <w:sdtEndPr/>
    <w:sdtContent>
      <w:p w:rsidR="007D3C38" w:rsidRDefault="00602FEC">
        <w:pPr>
          <w:pStyle w:val="a6"/>
          <w:jc w:val="center"/>
        </w:pPr>
        <w:r>
          <w:fldChar w:fldCharType="begin"/>
        </w:r>
        <w:r w:rsidR="007D3C38">
          <w:instrText>PAGE   \* MERGEFORMAT</w:instrText>
        </w:r>
        <w:r>
          <w:fldChar w:fldCharType="separate"/>
        </w:r>
        <w:r w:rsidR="00F90301" w:rsidRPr="00F90301">
          <w:rPr>
            <w:noProof/>
            <w:lang w:val="ru-RU"/>
          </w:rPr>
          <w:t>13</w:t>
        </w:r>
        <w:r>
          <w:fldChar w:fldCharType="end"/>
        </w:r>
      </w:p>
    </w:sdtContent>
  </w:sdt>
  <w:p w:rsidR="007D3C38" w:rsidRDefault="007D3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AD"/>
    <w:multiLevelType w:val="hybridMultilevel"/>
    <w:tmpl w:val="A796C5D0"/>
    <w:lvl w:ilvl="0" w:tplc="0F768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D"/>
    <w:rsid w:val="00004B9F"/>
    <w:rsid w:val="00010CA4"/>
    <w:rsid w:val="00035AB7"/>
    <w:rsid w:val="000725F2"/>
    <w:rsid w:val="000B65CD"/>
    <w:rsid w:val="000E3E28"/>
    <w:rsid w:val="00123B7F"/>
    <w:rsid w:val="00150F2D"/>
    <w:rsid w:val="00251DCF"/>
    <w:rsid w:val="0026228D"/>
    <w:rsid w:val="002C0493"/>
    <w:rsid w:val="00305CF3"/>
    <w:rsid w:val="00334909"/>
    <w:rsid w:val="003456CC"/>
    <w:rsid w:val="0037181E"/>
    <w:rsid w:val="003A53E8"/>
    <w:rsid w:val="003D245B"/>
    <w:rsid w:val="003F685E"/>
    <w:rsid w:val="0040554B"/>
    <w:rsid w:val="004B5248"/>
    <w:rsid w:val="00554F0D"/>
    <w:rsid w:val="00576385"/>
    <w:rsid w:val="005F418E"/>
    <w:rsid w:val="00602FEC"/>
    <w:rsid w:val="00645257"/>
    <w:rsid w:val="0069000E"/>
    <w:rsid w:val="00707D56"/>
    <w:rsid w:val="0077569D"/>
    <w:rsid w:val="007D2E5C"/>
    <w:rsid w:val="007D3C38"/>
    <w:rsid w:val="007E3806"/>
    <w:rsid w:val="0081105A"/>
    <w:rsid w:val="00817C91"/>
    <w:rsid w:val="008336A4"/>
    <w:rsid w:val="00865903"/>
    <w:rsid w:val="00934FFE"/>
    <w:rsid w:val="009353B3"/>
    <w:rsid w:val="0096248F"/>
    <w:rsid w:val="009624E6"/>
    <w:rsid w:val="00A13A17"/>
    <w:rsid w:val="00A352D8"/>
    <w:rsid w:val="00A66950"/>
    <w:rsid w:val="00AC5048"/>
    <w:rsid w:val="00AE6E7A"/>
    <w:rsid w:val="00AE7902"/>
    <w:rsid w:val="00B23E82"/>
    <w:rsid w:val="00B25297"/>
    <w:rsid w:val="00B43D10"/>
    <w:rsid w:val="00B67538"/>
    <w:rsid w:val="00B86446"/>
    <w:rsid w:val="00BB45D0"/>
    <w:rsid w:val="00BD24F3"/>
    <w:rsid w:val="00BD6B40"/>
    <w:rsid w:val="00BF1958"/>
    <w:rsid w:val="00BF2AC4"/>
    <w:rsid w:val="00C24E56"/>
    <w:rsid w:val="00C36D09"/>
    <w:rsid w:val="00C7078C"/>
    <w:rsid w:val="00C73620"/>
    <w:rsid w:val="00C86CC1"/>
    <w:rsid w:val="00CD4FF2"/>
    <w:rsid w:val="00D50548"/>
    <w:rsid w:val="00D75668"/>
    <w:rsid w:val="00E43A88"/>
    <w:rsid w:val="00E62C6A"/>
    <w:rsid w:val="00E66E3E"/>
    <w:rsid w:val="00E72735"/>
    <w:rsid w:val="00E81879"/>
    <w:rsid w:val="00EF0245"/>
    <w:rsid w:val="00F90301"/>
    <w:rsid w:val="00F93F0E"/>
    <w:rsid w:val="00FA7223"/>
    <w:rsid w:val="00FD093F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50F2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Body Text Indent"/>
    <w:basedOn w:val="a"/>
    <w:link w:val="a4"/>
    <w:rsid w:val="00BF1958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BF1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F1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1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F1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1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F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rsid w:val="00BF1958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BF19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1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BF1958"/>
  </w:style>
  <w:style w:type="character" w:styleId="a5">
    <w:name w:val="Hyperlink"/>
    <w:rsid w:val="00BF19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3C3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3C3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50F2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Body Text Indent"/>
    <w:basedOn w:val="a"/>
    <w:link w:val="a4"/>
    <w:rsid w:val="00BF1958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BF1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F1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1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F1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1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F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rsid w:val="00BF1958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BF19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1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BF1958"/>
  </w:style>
  <w:style w:type="character" w:styleId="a5">
    <w:name w:val="Hyperlink"/>
    <w:rsid w:val="00BF19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3C3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3C3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12025</Words>
  <Characters>6855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2017-02-20T07:25:00Z</dcterms:created>
  <dcterms:modified xsi:type="dcterms:W3CDTF">2017-02-20T07:25:00Z</dcterms:modified>
</cp:coreProperties>
</file>