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7" w:rsidRPr="002F0463" w:rsidRDefault="002A76F7" w:rsidP="002A76F7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:rsidR="002A76F7" w:rsidRPr="002F0463" w:rsidRDefault="002A76F7" w:rsidP="002A76F7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>Наказ Міністерства внутрішніх справ України</w:t>
      </w:r>
    </w:p>
    <w:p w:rsidR="002A76F7" w:rsidRPr="002F0463" w:rsidRDefault="002A76F7" w:rsidP="002A76F7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12.07.2019 року</w:t>
      </w:r>
      <w:r w:rsidRPr="002F0463">
        <w:rPr>
          <w:sz w:val="28"/>
          <w:szCs w:val="28"/>
        </w:rPr>
        <w:t xml:space="preserve"> № </w:t>
      </w:r>
      <w:r>
        <w:rPr>
          <w:sz w:val="28"/>
          <w:szCs w:val="28"/>
        </w:rPr>
        <w:t>566</w:t>
      </w:r>
    </w:p>
    <w:p w:rsidR="002A76F7" w:rsidRDefault="002A76F7" w:rsidP="002A76F7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2A76F7" w:rsidRPr="00A644FD" w:rsidRDefault="002A76F7" w:rsidP="002A76F7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2A76F7" w:rsidRDefault="002A76F7" w:rsidP="002A76F7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2A76F7" w:rsidRPr="00186C83" w:rsidRDefault="002A76F7" w:rsidP="002A76F7">
      <w:pPr>
        <w:pStyle w:val="21"/>
        <w:ind w:left="560" w:right="398" w:firstLine="0"/>
        <w:rPr>
          <w:szCs w:val="28"/>
        </w:rPr>
      </w:pPr>
      <w:r w:rsidRPr="00186C83">
        <w:rPr>
          <w:szCs w:val="28"/>
        </w:rPr>
        <w:t>проведення конкурсу на зайняття вакантної посади державної служби категорії «</w:t>
      </w:r>
      <w:r>
        <w:rPr>
          <w:szCs w:val="28"/>
        </w:rPr>
        <w:t>В</w:t>
      </w:r>
      <w:r w:rsidRPr="00186C83">
        <w:rPr>
          <w:szCs w:val="28"/>
        </w:rPr>
        <w:t xml:space="preserve">» </w:t>
      </w:r>
      <w:r>
        <w:rPr>
          <w:szCs w:val="28"/>
        </w:rPr>
        <w:t xml:space="preserve">головного спеціаліста відділу формування політики та моніторингу управління моніторингу </w:t>
      </w:r>
      <w:r w:rsidRPr="00104867">
        <w:rPr>
          <w:szCs w:val="28"/>
        </w:rPr>
        <w:t>Департаменту формування політики щодо підконтрольних Міністрові органів влади та моніторингу</w:t>
      </w:r>
      <w:r>
        <w:rPr>
          <w:szCs w:val="28"/>
        </w:rPr>
        <w:t xml:space="preserve"> </w:t>
      </w:r>
      <w:r w:rsidRPr="00186C83">
        <w:rPr>
          <w:szCs w:val="28"/>
        </w:rPr>
        <w:t>МВС України</w:t>
      </w:r>
    </w:p>
    <w:p w:rsidR="002A76F7" w:rsidRPr="00186C83" w:rsidRDefault="002A76F7" w:rsidP="002A76F7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648" w:type="dxa"/>
        <w:tblLayout w:type="fixed"/>
        <w:tblLook w:val="00A0"/>
      </w:tblPr>
      <w:tblGrid>
        <w:gridCol w:w="453"/>
        <w:gridCol w:w="3513"/>
        <w:gridCol w:w="5682"/>
      </w:tblGrid>
      <w:tr w:rsidR="002A76F7" w:rsidRPr="00A54D99" w:rsidTr="003F704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2A76F7" w:rsidRPr="00A54D99" w:rsidTr="003F7047">
        <w:trPr>
          <w:trHeight w:val="1243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ind w:firstLine="347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Здійснює моніторинг та опрацювання інформації про надзвичайні і резонансні події, які відбулися в центральних органах виконавчої влади, діяльність яких спрямовується та координується Кабінетом Міністрів України через Міністра внутрішніх справ України та Національної гвардії України (далі – державні органи), територіальних органах, підприємствах, установах та організаціях, що належать до сфери їх управління, а за необхідності готує відповідні пропозиції.</w:t>
            </w:r>
          </w:p>
          <w:p w:rsidR="002A76F7" w:rsidRPr="00A54D99" w:rsidRDefault="002A76F7" w:rsidP="003F7047">
            <w:pPr>
              <w:ind w:firstLine="347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 дорученням керівництва Департаменту готує пропозиції на розгляд Міністра щодо проведення планових та позапланових перевірок діяльності державних органів, територіальних органів, підприємств, установ та організацій, що належать до сфери їх управління, а також підприємств, установ та організацій, що належать до сфери управління МВС.</w:t>
            </w:r>
          </w:p>
          <w:p w:rsidR="002A76F7" w:rsidRPr="00A54D99" w:rsidRDefault="002A76F7" w:rsidP="003F7047">
            <w:pPr>
              <w:ind w:firstLine="347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 дорученням керівництва бере </w:t>
            </w:r>
            <w:r w:rsidRPr="00A54D99">
              <w:rPr>
                <w:sz w:val="28"/>
                <w:szCs w:val="28"/>
              </w:rPr>
              <w:lastRenderedPageBreak/>
              <w:t>безпосередню участь у розроблені проектів законів та проектів, інших нормативно-правових актів у сфері діяльності державних органів, територіальних органів, підприємств, установ та закладів, що належать до сфери їх управління.</w:t>
            </w:r>
          </w:p>
          <w:p w:rsidR="002A76F7" w:rsidRPr="00A54D99" w:rsidRDefault="002A76F7" w:rsidP="003F7047">
            <w:pPr>
              <w:ind w:firstLine="347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 дорученням керівництва забезпечує підготовку наказів та доручень Міністра внутрішніх справ з питань спрямування і координації діяльності щодо підконтрольних органів влади.</w:t>
            </w:r>
          </w:p>
          <w:p w:rsidR="002A76F7" w:rsidRPr="00A54D99" w:rsidRDefault="002A76F7" w:rsidP="003F7047">
            <w:pPr>
              <w:ind w:firstLine="347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Здійснює розгляд звернень та запитів фізичних і юридичних осіб (у тому числі на отримання публічної інформації) звернень та запитів народних депутатів України та своєчасне їх опрацювання в порядку й строки, визначені законодавством України.</w:t>
            </w:r>
          </w:p>
          <w:p w:rsidR="002A76F7" w:rsidRPr="00A54D99" w:rsidRDefault="002A76F7" w:rsidP="003F7047">
            <w:pPr>
              <w:ind w:firstLine="347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В межах компетенції Департаменту бере участь в опрацюванні матеріалів (виступів) до проектів нормативно-правових актів для їх представлення керівництвом МВС на засіданнях Урядових комітетів та Міністром на засіданнях Кабінету Міністрів України. </w:t>
            </w:r>
          </w:p>
          <w:p w:rsidR="002A76F7" w:rsidRPr="00A54D99" w:rsidRDefault="002A76F7" w:rsidP="003F7047">
            <w:pPr>
              <w:pStyle w:val="a5"/>
              <w:tabs>
                <w:tab w:val="left" w:pos="0"/>
              </w:tabs>
              <w:spacing w:line="235" w:lineRule="auto"/>
              <w:ind w:firstLine="347"/>
              <w:rPr>
                <w:color w:val="FF0000"/>
              </w:rPr>
            </w:pPr>
            <w:r w:rsidRPr="00A54D99">
              <w:t>За дорученням керівництва відділу, управління або Департаменту виконує інші повноваження, які випливають із основних завдань та функцій відділу.</w:t>
            </w:r>
            <w:r w:rsidRPr="00A54D99">
              <w:rPr>
                <w:color w:val="FF0000"/>
              </w:rPr>
              <w:t xml:space="preserve">  </w:t>
            </w:r>
          </w:p>
        </w:tc>
      </w:tr>
      <w:tr w:rsidR="002A76F7" w:rsidRPr="00A54D99" w:rsidTr="003F7047">
        <w:trPr>
          <w:trHeight w:val="340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54D99">
              <w:rPr>
                <w:color w:val="000000"/>
                <w:sz w:val="28"/>
                <w:szCs w:val="28"/>
              </w:rPr>
              <w:lastRenderedPageBreak/>
              <w:t xml:space="preserve">Умови оплати праці </w:t>
            </w:r>
          </w:p>
          <w:p w:rsidR="002A76F7" w:rsidRPr="00A54D99" w:rsidRDefault="002A76F7" w:rsidP="003F7047">
            <w:pPr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tabs>
                <w:tab w:val="left" w:pos="246"/>
              </w:tabs>
              <w:ind w:right="1" w:firstLine="250"/>
              <w:jc w:val="both"/>
              <w:rPr>
                <w:rStyle w:val="14pt"/>
                <w:lang w:eastAsia="uk-UA"/>
              </w:rPr>
            </w:pPr>
            <w:r w:rsidRPr="00A54D99">
              <w:rPr>
                <w:rStyle w:val="14pt"/>
                <w:lang w:eastAsia="uk-UA"/>
              </w:rPr>
              <w:t>Посадовий оклад – 9600 грн.</w:t>
            </w:r>
          </w:p>
          <w:p w:rsidR="002A76F7" w:rsidRPr="00A54D99" w:rsidRDefault="002A76F7" w:rsidP="003F7047">
            <w:pPr>
              <w:tabs>
                <w:tab w:val="left" w:pos="246"/>
              </w:tabs>
              <w:ind w:right="1" w:firstLine="250"/>
              <w:jc w:val="both"/>
              <w:rPr>
                <w:rStyle w:val="14pt"/>
                <w:lang w:eastAsia="uk-UA"/>
              </w:rPr>
            </w:pPr>
            <w:r w:rsidRPr="00A54D99">
              <w:rPr>
                <w:rStyle w:val="14pt"/>
                <w:lang w:eastAsia="uk-UA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2A76F7" w:rsidRPr="00A54D99" w:rsidRDefault="002A76F7" w:rsidP="003F7047">
            <w:pPr>
              <w:pStyle w:val="a5"/>
              <w:tabs>
                <w:tab w:val="left" w:pos="246"/>
                <w:tab w:val="left" w:pos="452"/>
              </w:tabs>
              <w:spacing w:line="235" w:lineRule="auto"/>
              <w:ind w:right="1" w:firstLine="250"/>
              <w:rPr>
                <w:rStyle w:val="14pt"/>
                <w:lang w:eastAsia="uk-UA"/>
              </w:rPr>
            </w:pPr>
            <w:r w:rsidRPr="00A54D99">
              <w:rPr>
                <w:rStyle w:val="14pt"/>
                <w:lang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2A76F7" w:rsidRPr="00A54D99" w:rsidTr="003F7047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Безстроково.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  <w:p w:rsidR="002A76F7" w:rsidRPr="00A54D99" w:rsidRDefault="002A76F7" w:rsidP="003F70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Копія паспорта громадянина України.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A76F7" w:rsidRPr="00A54D99" w:rsidTr="003F7047">
        <w:trPr>
          <w:trHeight w:val="1779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54D99">
                <w:rPr>
                  <w:sz w:val="28"/>
                  <w:szCs w:val="28"/>
                </w:rPr>
                <w:t>частиною третьою</w:t>
              </w:r>
            </w:hyperlink>
            <w:r w:rsidRPr="00A54D9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A54D99">
                <w:rPr>
                  <w:sz w:val="28"/>
                  <w:szCs w:val="28"/>
                </w:rPr>
                <w:t>четвертою</w:t>
              </w:r>
            </w:hyperlink>
            <w:r w:rsidRPr="00A54D99">
              <w:rPr>
                <w:sz w:val="28"/>
                <w:szCs w:val="28"/>
              </w:rPr>
              <w:t xml:space="preserve"> статті 1 Закону України 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Копія (копії) документа (документів) про освіту.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Заповнена особова картка встановленого зразка.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Документи, що подаються для участі в конкурсі, приймаються до 16.45 – 26.07.2019,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54D99">
                <w:rPr>
                  <w:sz w:val="28"/>
                  <w:szCs w:val="28"/>
                </w:rPr>
                <w:t>10, м</w:t>
              </w:r>
            </w:smartTag>
            <w:r w:rsidRPr="00A54D99">
              <w:rPr>
                <w:sz w:val="28"/>
                <w:szCs w:val="28"/>
              </w:rPr>
              <w:t>. Київ.</w:t>
            </w:r>
          </w:p>
        </w:tc>
      </w:tr>
      <w:tr w:rsidR="002A76F7" w:rsidRPr="00A54D99" w:rsidTr="003F7047">
        <w:trPr>
          <w:trHeight w:val="42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F7267F" w:rsidRDefault="002A76F7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</w:t>
            </w:r>
            <w:r w:rsidRPr="00A54D99">
              <w:rPr>
                <w:sz w:val="28"/>
                <w:szCs w:val="28"/>
              </w:rPr>
              <w:lastRenderedPageBreak/>
              <w:t>на зайняття посад державної служби”.</w:t>
            </w:r>
          </w:p>
          <w:p w:rsidR="002A76F7" w:rsidRPr="00F251BA" w:rsidRDefault="002A76F7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2A76F7" w:rsidRPr="00A54D9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Місце, час і дата початку проведення конкурсу</w:t>
            </w:r>
            <w:r>
              <w:rPr>
                <w:sz w:val="28"/>
                <w:szCs w:val="28"/>
              </w:rPr>
              <w:t xml:space="preserve"> 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Вул. Пилипа Орлика, 16/12, м. Київ, </w:t>
            </w:r>
            <w:r>
              <w:rPr>
                <w:sz w:val="28"/>
                <w:szCs w:val="28"/>
              </w:rPr>
              <w:t xml:space="preserve">              </w:t>
            </w:r>
            <w:r w:rsidRPr="00A54D99">
              <w:rPr>
                <w:sz w:val="28"/>
                <w:szCs w:val="28"/>
              </w:rPr>
              <w:t>кім. 307 о 10.00 - 30 липня 2019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A54D99">
              <w:rPr>
                <w:sz w:val="28"/>
                <w:szCs w:val="28"/>
              </w:rPr>
              <w:t>).</w:t>
            </w:r>
          </w:p>
        </w:tc>
      </w:tr>
      <w:tr w:rsidR="002A76F7" w:rsidRPr="00A54D9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Default="002A76F7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Волосевич Ігор Анатолійович,</w:t>
            </w:r>
          </w:p>
          <w:p w:rsidR="002A76F7" w:rsidRDefault="002A76F7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(044) 254-75-55, </w:t>
            </w:r>
          </w:p>
          <w:p w:rsidR="002A76F7" w:rsidRPr="00A54D99" w:rsidRDefault="002A76F7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color w:val="FF0000"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y.volosevych@mvs.gov.ua</w:t>
            </w:r>
          </w:p>
        </w:tc>
      </w:tr>
      <w:tr w:rsidR="002A76F7" w:rsidRPr="00A54D99" w:rsidTr="003F704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D99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2A76F7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Освіта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397"/>
              </w:tabs>
              <w:spacing w:before="120"/>
              <w:ind w:firstLine="225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Вища </w:t>
            </w:r>
            <w:r w:rsidRPr="00A54D99">
              <w:rPr>
                <w:color w:val="000000"/>
                <w:sz w:val="28"/>
                <w:szCs w:val="28"/>
              </w:rPr>
              <w:t xml:space="preserve">за освітнім ступенем </w:t>
            </w:r>
            <w:r w:rsidRPr="00A54D99">
              <w:rPr>
                <w:sz w:val="28"/>
                <w:szCs w:val="28"/>
              </w:rPr>
              <w:t>не нижче молодшого бакалавра, бакалавра.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pStyle w:val="rvps12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A54D9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397"/>
              </w:tabs>
              <w:spacing w:before="120"/>
              <w:ind w:right="98" w:firstLine="225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Не потребує.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pStyle w:val="rvps12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A54D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397"/>
              </w:tabs>
              <w:spacing w:before="120"/>
              <w:ind w:right="98" w:firstLine="225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2A76F7" w:rsidRPr="00A54D99" w:rsidTr="003F7047">
        <w:trPr>
          <w:trHeight w:val="27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D99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2A76F7" w:rsidRPr="00A54D9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 xml:space="preserve">Вимога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2A76F7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226"/>
              </w:tabs>
              <w:ind w:right="98" w:firstLine="225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Рівень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Інтернет.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F7267F" w:rsidRDefault="002A76F7" w:rsidP="002A76F7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Необхідні ділові якості</w:t>
            </w:r>
          </w:p>
          <w:p w:rsidR="002A76F7" w:rsidRPr="00A54D99" w:rsidRDefault="002A76F7" w:rsidP="003F7047">
            <w:pPr>
              <w:rPr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226"/>
              </w:tabs>
              <w:ind w:right="96" w:firstLine="225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F251BA" w:rsidRDefault="002A76F7" w:rsidP="002A76F7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pStyle w:val="ListParagraph"/>
              <w:tabs>
                <w:tab w:val="left" w:pos="253"/>
              </w:tabs>
              <w:suppressAutoHyphens/>
              <w:ind w:left="0" w:firstLine="367"/>
              <w:rPr>
                <w:szCs w:val="28"/>
              </w:rPr>
            </w:pPr>
            <w:r w:rsidRPr="00A54D99">
              <w:rPr>
                <w:szCs w:val="28"/>
              </w:rPr>
              <w:t>Вміння працювати з інформацією. Здатність працювати в декількох проектах одночасно. Орієнтація на досягнення кінцевих результатів. Вміння вирішувати комплексні завдання. 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2A76F7" w:rsidRPr="00A54D99" w:rsidTr="003F7047">
        <w:trPr>
          <w:trHeight w:val="41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A54D99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2A76F7" w:rsidRPr="00A54D99" w:rsidTr="003F7047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7" w:rsidRPr="00A54D99" w:rsidRDefault="002A76F7" w:rsidP="003F7047">
            <w:pPr>
              <w:jc w:val="center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Компоненти вимоги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2A76F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A54D99">
              <w:rPr>
                <w:color w:val="000000"/>
                <w:sz w:val="28"/>
                <w:szCs w:val="28"/>
              </w:rPr>
              <w:t xml:space="preserve">Конституції України; </w:t>
            </w:r>
          </w:p>
          <w:p w:rsidR="002A76F7" w:rsidRPr="00A54D99" w:rsidRDefault="002A76F7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A54D99">
              <w:rPr>
                <w:color w:val="000000"/>
                <w:sz w:val="28"/>
                <w:szCs w:val="28"/>
              </w:rPr>
              <w:t xml:space="preserve">Закону України «Про державну службу»; </w:t>
            </w:r>
          </w:p>
          <w:p w:rsidR="002A76F7" w:rsidRPr="00A54D99" w:rsidRDefault="002A76F7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A54D99">
              <w:rPr>
                <w:color w:val="000000"/>
                <w:sz w:val="28"/>
                <w:szCs w:val="28"/>
              </w:rPr>
              <w:t>Закону України «Про запобігання корупції»;</w:t>
            </w:r>
          </w:p>
          <w:p w:rsidR="002A76F7" w:rsidRPr="00A54D99" w:rsidRDefault="002A76F7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2A76F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цивільного захисту України;</w:t>
            </w:r>
          </w:p>
          <w:p w:rsidR="002A76F7" w:rsidRPr="00A54D99" w:rsidRDefault="002A76F7" w:rsidP="003F7047">
            <w:pPr>
              <w:tabs>
                <w:tab w:val="left" w:pos="192"/>
              </w:tabs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очищення влади»;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центральні органи виконавчої влади».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України «Про інформацію»; 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державну таємницю»;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звернення громадян»;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Національну гвардію України»;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Закону України «Про Національну поліцію України»;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Державну прикордонну службу України»;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захист персональних даних»;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національну безпеку»;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Закону України «Про оборону України»;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rStyle w:val="rvts23"/>
                <w:sz w:val="28"/>
                <w:szCs w:val="28"/>
              </w:rPr>
              <w:t>Закон</w:t>
            </w:r>
            <w:r>
              <w:rPr>
                <w:rStyle w:val="rvts23"/>
                <w:sz w:val="28"/>
                <w:szCs w:val="28"/>
              </w:rPr>
              <w:t>у</w:t>
            </w:r>
            <w:r w:rsidRPr="00A54D99">
              <w:rPr>
                <w:rStyle w:val="rvts23"/>
                <w:sz w:val="28"/>
                <w:szCs w:val="28"/>
              </w:rPr>
              <w:t xml:space="preserve"> України «Про</w:t>
            </w:r>
            <w:r w:rsidRPr="00A54D99">
              <w:rPr>
                <w:sz w:val="28"/>
                <w:szCs w:val="28"/>
              </w:rPr>
              <w:t xml:space="preserve"> основні засади забезпечення кібербезпеки в Україні»;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України «Про правовий режим воєнного стану»;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України «Про статус народного депутата України»;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A54D99">
              <w:rPr>
                <w:sz w:val="28"/>
                <w:szCs w:val="28"/>
              </w:rPr>
              <w:t xml:space="preserve"> Кабінету Міністрів України від 08.07.2007 № 950 «Про затвердження Регламенту Кабінету Міністрів України»;</w:t>
            </w:r>
          </w:p>
          <w:p w:rsidR="002A76F7" w:rsidRPr="00A54D99" w:rsidRDefault="002A76F7" w:rsidP="003F7047">
            <w:pPr>
              <w:tabs>
                <w:tab w:val="left" w:pos="19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Положення про Міністерство внутрішніх справ України, затвердженого постановою Кабінету Міністрів України від 28</w:t>
            </w:r>
            <w:r>
              <w:rPr>
                <w:sz w:val="28"/>
                <w:szCs w:val="28"/>
              </w:rPr>
              <w:t>.10.2015</w:t>
            </w:r>
            <w:r w:rsidRPr="00A5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54D99">
              <w:rPr>
                <w:sz w:val="28"/>
                <w:szCs w:val="28"/>
              </w:rPr>
              <w:t>№ 878;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A54D99">
              <w:rPr>
                <w:sz w:val="28"/>
                <w:szCs w:val="28"/>
              </w:rPr>
              <w:t xml:space="preserve"> Кабінету Міністрів України від 17.01.2018 № 55 «Деякі питання документування управлінської діяльності»;</w:t>
            </w:r>
          </w:p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МВС</w:t>
            </w:r>
            <w:r w:rsidRPr="00A54D99">
              <w:rPr>
                <w:sz w:val="28"/>
                <w:szCs w:val="28"/>
              </w:rPr>
              <w:t xml:space="preserve"> України від 23.04.2012 № 350 «Про затвердження Інструкції з організації контролю за виконанням документів у системі МВС України»;</w:t>
            </w:r>
          </w:p>
          <w:p w:rsidR="002A76F7" w:rsidRPr="00A54D99" w:rsidRDefault="002A76F7" w:rsidP="003F7047">
            <w:pPr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Міністерства юстиції України від 12.04.2005 № 34/5 «Про вдосконалення </w:t>
            </w:r>
            <w:r w:rsidRPr="00A54D99">
              <w:rPr>
                <w:sz w:val="28"/>
                <w:szCs w:val="28"/>
              </w:rPr>
              <w:lastRenderedPageBreak/>
              <w:t>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актів».</w:t>
            </w:r>
          </w:p>
        </w:tc>
      </w:tr>
      <w:tr w:rsidR="002A76F7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2A76F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Інші знання, необхідні для виконання поставлених завдань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7" w:rsidRPr="00A54D99" w:rsidRDefault="002A76F7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Знання у сфері роботи з документами обмеженого доступу.</w:t>
            </w:r>
          </w:p>
          <w:p w:rsidR="002A76F7" w:rsidRPr="00A54D99" w:rsidRDefault="002A76F7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Знання про права людини, забезпечення рівних прав та можливостей жінок та чоловіків. </w:t>
            </w:r>
          </w:p>
        </w:tc>
      </w:tr>
    </w:tbl>
    <w:p w:rsidR="002A76F7" w:rsidRPr="00186C83" w:rsidRDefault="002A76F7" w:rsidP="002A76F7"/>
    <w:p w:rsidR="004E2A1C" w:rsidRDefault="004E2A1C"/>
    <w:sectPr w:rsidR="004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07"/>
    <w:multiLevelType w:val="hybridMultilevel"/>
    <w:tmpl w:val="F13C0A20"/>
    <w:lvl w:ilvl="0" w:tplc="BE1E1C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27436"/>
    <w:multiLevelType w:val="hybridMultilevel"/>
    <w:tmpl w:val="6E88DE22"/>
    <w:lvl w:ilvl="0" w:tplc="60C26D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B1CD1"/>
    <w:multiLevelType w:val="hybridMultilevel"/>
    <w:tmpl w:val="5C0837A8"/>
    <w:lvl w:ilvl="0" w:tplc="70E20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A76F7"/>
    <w:rsid w:val="002A76F7"/>
    <w:rsid w:val="004E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2A76F7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Назва документа"/>
    <w:basedOn w:val="a"/>
    <w:next w:val="a4"/>
    <w:uiPriority w:val="99"/>
    <w:rsid w:val="002A76F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2A76F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2A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rsid w:val="002A76F7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76F7"/>
  </w:style>
  <w:style w:type="character" w:customStyle="1" w:styleId="1">
    <w:name w:val="Основной текст с отступом Знак1"/>
    <w:link w:val="a5"/>
    <w:rsid w:val="002A76F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4pt">
    <w:name w:val="Основной текст + 14 pt"/>
    <w:rsid w:val="002A76F7"/>
    <w:rPr>
      <w:rFonts w:ascii="Times New Roman" w:hAnsi="Times New Roman" w:cs="Times New Roman"/>
      <w:b w:val="0"/>
      <w:sz w:val="28"/>
      <w:szCs w:val="28"/>
      <w:u w:val="none"/>
      <w:lang w:val="uk-UA" w:eastAsia="zh-CN"/>
    </w:rPr>
  </w:style>
  <w:style w:type="paragraph" w:customStyle="1" w:styleId="rvps14">
    <w:name w:val="rvps14"/>
    <w:basedOn w:val="a"/>
    <w:uiPriority w:val="99"/>
    <w:rsid w:val="002A76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2A76F7"/>
  </w:style>
  <w:style w:type="paragraph" w:customStyle="1" w:styleId="ListParagraph">
    <w:name w:val="List Paragraph"/>
    <w:basedOn w:val="a"/>
    <w:rsid w:val="002A76F7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6874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2019-07-12T10:06:00Z</dcterms:created>
  <dcterms:modified xsi:type="dcterms:W3CDTF">2019-07-12T10:06:00Z</dcterms:modified>
</cp:coreProperties>
</file>