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79" w:rsidRPr="006F1BA4" w:rsidRDefault="00654179" w:rsidP="00654179">
      <w:pPr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654179" w:rsidRPr="006F1BA4" w:rsidRDefault="00654179" w:rsidP="00654179">
      <w:pPr>
        <w:ind w:left="6860"/>
        <w:rPr>
          <w:sz w:val="24"/>
          <w:szCs w:val="24"/>
        </w:rPr>
      </w:pPr>
      <w:r w:rsidRPr="006F1BA4">
        <w:rPr>
          <w:sz w:val="24"/>
          <w:szCs w:val="24"/>
        </w:rPr>
        <w:t>Наказ Міністерства внутрішніх справ України</w:t>
      </w:r>
    </w:p>
    <w:p w:rsidR="00654179" w:rsidRPr="006F1BA4" w:rsidRDefault="00654179" w:rsidP="00654179">
      <w:pPr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від </w:t>
      </w:r>
      <w:r>
        <w:rPr>
          <w:sz w:val="24"/>
          <w:szCs w:val="24"/>
        </w:rPr>
        <w:t>05.11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877</w:t>
      </w:r>
    </w:p>
    <w:p w:rsidR="00654179" w:rsidRPr="006F1BA4" w:rsidRDefault="00654179" w:rsidP="0065417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654179" w:rsidRPr="006F1BA4" w:rsidRDefault="00654179" w:rsidP="0065417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654179" w:rsidRDefault="00654179" w:rsidP="00654179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>проведення конкурсу на зайняття вакантної посади</w:t>
      </w:r>
      <w:r w:rsidRPr="006F1BA4">
        <w:rPr>
          <w:rStyle w:val="rvts15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начальника управління організаційного забезпечення та контролю  – начальника відділу координації діяльності та контролю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68"/>
        <w:gridCol w:w="3780"/>
        <w:gridCol w:w="5580"/>
      </w:tblGrid>
      <w:tr w:rsidR="00654179" w:rsidRPr="00DB7B9D" w:rsidTr="0044385C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923C17" w:rsidRDefault="00654179" w:rsidP="0044385C">
            <w:pPr>
              <w:pStyle w:val="a8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654179" w:rsidRPr="00DB7B9D" w:rsidTr="0044385C">
        <w:trPr>
          <w:trHeight w:val="277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r w:rsidRPr="00DB7B9D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6D5F1D" w:rsidRDefault="00654179" w:rsidP="0044385C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6D5F1D">
              <w:rPr>
                <w:bCs/>
                <w:sz w:val="24"/>
                <w:szCs w:val="24"/>
                <w:lang w:eastAsia="uk-UA"/>
              </w:rPr>
              <w:t xml:space="preserve">Організовує роботу працівників відділу, забезпечує якісне та ефективне виконання покладених на них завдань і функцій та несе персональну відповідальність за належне їх виконання;                                                    </w:t>
            </w:r>
          </w:p>
          <w:p w:rsidR="00654179" w:rsidRPr="006D5F1D" w:rsidRDefault="00654179" w:rsidP="0044385C">
            <w:pPr>
              <w:pStyle w:val="a3"/>
              <w:tabs>
                <w:tab w:val="left" w:pos="1560"/>
              </w:tabs>
              <w:ind w:firstLine="0"/>
              <w:rPr>
                <w:bCs/>
                <w:sz w:val="24"/>
                <w:szCs w:val="24"/>
              </w:rPr>
            </w:pPr>
            <w:r w:rsidRPr="006D5F1D">
              <w:rPr>
                <w:bCs/>
                <w:sz w:val="24"/>
                <w:szCs w:val="24"/>
                <w:lang w:eastAsia="uk-UA"/>
              </w:rPr>
              <w:t xml:space="preserve">аналізує проекти інформаційно-аналітичних документів, що за підписом Міністра готують структурні підрозділи апарату Міністерства до Адміністрації Президента України, Кабінету Міністрів України, РНБОУ ініціативно або в порядку виконання доручень, з метою узагальнення пропозицій, висунутих МВС; </w:t>
            </w:r>
          </w:p>
          <w:p w:rsidR="00654179" w:rsidRPr="006D5F1D" w:rsidRDefault="00654179" w:rsidP="0044385C">
            <w:pPr>
              <w:pStyle w:val="a3"/>
              <w:tabs>
                <w:tab w:val="left" w:pos="1560"/>
              </w:tabs>
              <w:ind w:firstLine="0"/>
              <w:rPr>
                <w:bCs/>
                <w:sz w:val="24"/>
                <w:szCs w:val="24"/>
              </w:rPr>
            </w:pPr>
            <w:r w:rsidRPr="006D5F1D">
              <w:rPr>
                <w:bCs/>
                <w:sz w:val="24"/>
                <w:szCs w:val="24"/>
              </w:rPr>
              <w:t>здійснює контроль за окремими напрямами діяльності МВС, ЦОВВ, Національної гвардії України, їх територіальних органів, закладів, установ  і підприємств, що належать до сфери їх управління, щодо виконання законів України, указів, розпоряджень та доручень Президента України, інших нормативно-правових актів з питань, віднесених до сфери відповідальності МВС, рішень колегій, наказів і доручень Міністра та готує відповідні висновки та пропозиції;</w:t>
            </w:r>
          </w:p>
          <w:p w:rsidR="00654179" w:rsidRPr="006D5F1D" w:rsidRDefault="00654179" w:rsidP="0044385C">
            <w:pPr>
              <w:pStyle w:val="a3"/>
              <w:ind w:firstLine="0"/>
              <w:rPr>
                <w:bCs/>
                <w:color w:val="FF0000"/>
                <w:sz w:val="22"/>
                <w:szCs w:val="22"/>
              </w:rPr>
            </w:pPr>
            <w:r w:rsidRPr="006D5F1D">
              <w:rPr>
                <w:bCs/>
                <w:sz w:val="24"/>
                <w:szCs w:val="24"/>
              </w:rPr>
              <w:t>безпосередньо бере участь у розробці проектів нормативно-правових актів та проводить експертизу проектів нормативно-правових актів.</w:t>
            </w:r>
          </w:p>
        </w:tc>
      </w:tr>
      <w:tr w:rsidR="00654179" w:rsidRPr="00DB7B9D" w:rsidTr="0044385C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rPr>
                <w:sz w:val="24"/>
                <w:szCs w:val="24"/>
              </w:rPr>
            </w:pPr>
            <w:r w:rsidRPr="00DB7B9D">
              <w:t>Умови оплати праці</w:t>
            </w:r>
            <w:r w:rsidRPr="00DB7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11520</w:t>
            </w:r>
            <w:r w:rsidRPr="005E1BA7">
              <w:rPr>
                <w:color w:val="FF0000"/>
                <w:sz w:val="24"/>
                <w:szCs w:val="24"/>
              </w:rPr>
              <w:t xml:space="preserve"> </w:t>
            </w:r>
            <w:r w:rsidRPr="005E1BA7">
              <w:rPr>
                <w:sz w:val="24"/>
                <w:szCs w:val="24"/>
              </w:rPr>
              <w:t>грн.</w:t>
            </w:r>
          </w:p>
        </w:tc>
      </w:tr>
      <w:tr w:rsidR="00654179" w:rsidRPr="00DB7B9D" w:rsidTr="0044385C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Надбавка до посадового окладу за ранг відповідно до постанови Кабінету Міні</w:t>
            </w:r>
            <w:proofErr w:type="gramStart"/>
            <w:r w:rsidRPr="005E1BA7">
              <w:rPr>
                <w:sz w:val="24"/>
                <w:szCs w:val="24"/>
              </w:rPr>
              <w:t>стр</w:t>
            </w:r>
            <w:proofErr w:type="gramEnd"/>
            <w:r w:rsidRPr="005E1BA7">
              <w:rPr>
                <w:sz w:val="24"/>
                <w:szCs w:val="24"/>
              </w:rPr>
              <w:t>ів України від 18.01.2017 № 15 «Питання оплати праці працівників державних органів».</w:t>
            </w:r>
          </w:p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654179" w:rsidRPr="00DB7B9D" w:rsidTr="0044385C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  <w:rPr>
                <w:b/>
              </w:rPr>
            </w:pPr>
            <w:r w:rsidRPr="00DB7B9D">
              <w:t xml:space="preserve">Інформація про строковість чи безстроковість призначення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Безстроково.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  <w:rPr>
                <w:sz w:val="24"/>
                <w:szCs w:val="24"/>
              </w:rPr>
            </w:pPr>
            <w:r w:rsidRPr="00DB7B9D">
              <w:lastRenderedPageBreak/>
              <w:t>Перелі</w:t>
            </w:r>
            <w:proofErr w:type="gramStart"/>
            <w:r w:rsidRPr="00DB7B9D">
              <w:t>к</w:t>
            </w:r>
            <w:proofErr w:type="gramEnd"/>
            <w:r w:rsidRPr="00DB7B9D">
              <w:t xml:space="preserve">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Копія паспорта громадянина України.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Письмова заява про участь у конкурсі із зазначенням основних мотивів до зайняття посади державної служби, до якої додається резюме </w:t>
            </w:r>
            <w:proofErr w:type="gramStart"/>
            <w:r w:rsidRPr="005E1BA7">
              <w:rPr>
                <w:sz w:val="24"/>
                <w:szCs w:val="24"/>
              </w:rPr>
              <w:t>в дов</w:t>
            </w:r>
            <w:proofErr w:type="gramEnd"/>
            <w:r w:rsidRPr="005E1BA7">
              <w:rPr>
                <w:sz w:val="24"/>
                <w:szCs w:val="24"/>
              </w:rPr>
              <w:t>ільній формі.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Письмова заява, в якій особа повідомляє, що до неї </w:t>
            </w:r>
            <w:proofErr w:type="gramStart"/>
            <w:r w:rsidRPr="005E1BA7">
              <w:rPr>
                <w:sz w:val="24"/>
                <w:szCs w:val="24"/>
              </w:rPr>
              <w:t>не</w:t>
            </w:r>
            <w:proofErr w:type="gramEnd"/>
            <w:r w:rsidRPr="005E1BA7">
              <w:rPr>
                <w:sz w:val="24"/>
                <w:szCs w:val="24"/>
              </w:rPr>
              <w:t xml:space="preserve"> застосовуються заборони, визначені </w:t>
            </w:r>
            <w:hyperlink r:id="rId5" w:anchor="n13" w:tgtFrame="_blank" w:history="1">
              <w:r w:rsidRPr="005E1BA7">
                <w:rPr>
                  <w:sz w:val="24"/>
                  <w:szCs w:val="24"/>
                </w:rPr>
                <w:t>частиною третьою</w:t>
              </w:r>
            </w:hyperlink>
            <w:r w:rsidRPr="005E1BA7">
              <w:rPr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5E1BA7">
                <w:rPr>
                  <w:sz w:val="24"/>
                  <w:szCs w:val="24"/>
                </w:rPr>
                <w:t>четвертою</w:t>
              </w:r>
            </w:hyperlink>
            <w:r w:rsidRPr="005E1BA7">
              <w:rPr>
                <w:sz w:val="24"/>
                <w:szCs w:val="24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Копія (копії) документа (документів) про освіту.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Оригінал посвідчення атестації щодо вільного володіння </w:t>
            </w:r>
            <w:proofErr w:type="gramStart"/>
            <w:r w:rsidRPr="005E1BA7">
              <w:rPr>
                <w:sz w:val="24"/>
                <w:szCs w:val="24"/>
              </w:rPr>
              <w:t>державною</w:t>
            </w:r>
            <w:proofErr w:type="gramEnd"/>
            <w:r w:rsidRPr="005E1BA7">
              <w:rPr>
                <w:sz w:val="24"/>
                <w:szCs w:val="24"/>
              </w:rPr>
              <w:t xml:space="preserve"> мовою.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Заповнена особова картка встановленого зразка.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5E1BA7">
              <w:rPr>
                <w:sz w:val="24"/>
                <w:szCs w:val="24"/>
              </w:rPr>
              <w:t>р</w:t>
            </w:r>
            <w:proofErr w:type="gramEnd"/>
            <w:r w:rsidRPr="005E1BA7">
              <w:rPr>
                <w:sz w:val="24"/>
                <w:szCs w:val="24"/>
              </w:rPr>
              <w:t xml:space="preserve">ік. 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6A6413">
              <w:rPr>
                <w:sz w:val="24"/>
                <w:szCs w:val="24"/>
              </w:rPr>
              <w:t>Письмова заява, в якій особа повідомляє про відсутність заборгованості зі сплати аліментів на утримання дитини, сукупний розмі</w:t>
            </w:r>
            <w:proofErr w:type="gramStart"/>
            <w:r w:rsidRPr="006A6413">
              <w:rPr>
                <w:sz w:val="24"/>
                <w:szCs w:val="24"/>
              </w:rPr>
              <w:t>р</w:t>
            </w:r>
            <w:proofErr w:type="gramEnd"/>
            <w:r w:rsidRPr="006A6413">
              <w:rPr>
                <w:sz w:val="24"/>
                <w:szCs w:val="24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Особа, яка виявила бажання взяти участь </w:t>
            </w:r>
            <w:proofErr w:type="gramStart"/>
            <w:r w:rsidRPr="005E1BA7">
              <w:rPr>
                <w:sz w:val="24"/>
                <w:szCs w:val="24"/>
              </w:rPr>
              <w:t>у</w:t>
            </w:r>
            <w:proofErr w:type="gramEnd"/>
            <w:r w:rsidRPr="005E1BA7">
              <w:rPr>
                <w:sz w:val="24"/>
                <w:szCs w:val="24"/>
              </w:rPr>
              <w:t xml:space="preserve"> </w:t>
            </w:r>
            <w:proofErr w:type="gramStart"/>
            <w:r w:rsidRPr="005E1BA7">
              <w:rPr>
                <w:sz w:val="24"/>
                <w:szCs w:val="24"/>
              </w:rPr>
              <w:t>конкурс</w:t>
            </w:r>
            <w:proofErr w:type="gramEnd"/>
            <w:r w:rsidRPr="005E1BA7">
              <w:rPr>
                <w:sz w:val="24"/>
                <w:szCs w:val="24"/>
              </w:rPr>
              <w:t>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54179" w:rsidRPr="00DB7B9D" w:rsidTr="0044385C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Документи, що подаються для участі в конкурсі, приймаються до 18.00 – 2</w:t>
            </w:r>
            <w:r>
              <w:rPr>
                <w:sz w:val="24"/>
                <w:szCs w:val="24"/>
              </w:rPr>
              <w:t>2</w:t>
            </w:r>
            <w:r w:rsidRPr="005E1BA7">
              <w:rPr>
                <w:sz w:val="24"/>
                <w:szCs w:val="24"/>
              </w:rPr>
              <w:t xml:space="preserve"> листопада 2018 року.</w:t>
            </w:r>
          </w:p>
        </w:tc>
      </w:tr>
      <w:tr w:rsidR="00654179" w:rsidRPr="00DB7B9D" w:rsidTr="0044385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</w:pPr>
            <w:r w:rsidRPr="00DB7B9D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вул. Пилипа Орлика, 16/12, м. Київ, кім 307,                             о 10 год</w:t>
            </w:r>
            <w:r>
              <w:rPr>
                <w:sz w:val="24"/>
                <w:szCs w:val="24"/>
              </w:rPr>
              <w:t>.</w:t>
            </w:r>
            <w:r w:rsidRPr="005E1BA7">
              <w:rPr>
                <w:sz w:val="24"/>
                <w:szCs w:val="24"/>
              </w:rPr>
              <w:t xml:space="preserve"> 00 хв.   27 листопада 2018 року (тестування)</w:t>
            </w:r>
          </w:p>
        </w:tc>
      </w:tr>
      <w:tr w:rsidR="00654179" w:rsidRPr="00DB7B9D" w:rsidTr="0044385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</w:pPr>
            <w:proofErr w:type="gramStart"/>
            <w:r w:rsidRPr="00DB7B9D">
              <w:t>Пр</w:t>
            </w:r>
            <w:proofErr w:type="gramEnd"/>
            <w:r w:rsidRPr="00DB7B9D">
              <w:t>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spacing w:before="120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Василенко Олексій</w:t>
            </w:r>
            <w:proofErr w:type="gramStart"/>
            <w:r w:rsidRPr="005E1BA7">
              <w:rPr>
                <w:sz w:val="24"/>
                <w:szCs w:val="24"/>
              </w:rPr>
              <w:t xml:space="preserve"> В</w:t>
            </w:r>
            <w:proofErr w:type="gramEnd"/>
            <w:r w:rsidRPr="005E1BA7">
              <w:rPr>
                <w:sz w:val="24"/>
                <w:szCs w:val="24"/>
              </w:rPr>
              <w:t xml:space="preserve">’ячеславович , (044) 254-78-80, </w:t>
            </w:r>
            <w:r w:rsidRPr="005E1BA7">
              <w:rPr>
                <w:sz w:val="24"/>
                <w:szCs w:val="24"/>
                <w:lang w:val="en-US"/>
              </w:rPr>
              <w:t>doar</w:t>
            </w:r>
            <w:r w:rsidRPr="005E1BA7">
              <w:rPr>
                <w:sz w:val="24"/>
                <w:szCs w:val="24"/>
              </w:rPr>
              <w:t>@</w:t>
            </w:r>
            <w:r w:rsidRPr="005E1BA7">
              <w:rPr>
                <w:sz w:val="24"/>
                <w:szCs w:val="24"/>
                <w:lang w:val="en-US"/>
              </w:rPr>
              <w:t>mvs</w:t>
            </w:r>
            <w:r w:rsidRPr="005E1BA7">
              <w:rPr>
                <w:sz w:val="24"/>
                <w:szCs w:val="24"/>
              </w:rPr>
              <w:t>.</w:t>
            </w:r>
            <w:r w:rsidRPr="005E1BA7">
              <w:rPr>
                <w:sz w:val="24"/>
                <w:szCs w:val="24"/>
                <w:lang w:val="en-US"/>
              </w:rPr>
              <w:t>gov</w:t>
            </w:r>
            <w:r w:rsidRPr="005E1BA7">
              <w:rPr>
                <w:sz w:val="24"/>
                <w:szCs w:val="24"/>
              </w:rPr>
              <w:t>.ua</w:t>
            </w:r>
          </w:p>
        </w:tc>
      </w:tr>
      <w:tr w:rsidR="00654179" w:rsidRPr="00DB7B9D" w:rsidTr="0044385C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pStyle w:val="a9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</w:pPr>
            <w:r w:rsidRPr="00DB7B9D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Вища освіта за освітнім ступенем не нижче магістра.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</w:pPr>
            <w:r w:rsidRPr="00DB7B9D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</w:t>
            </w:r>
            <w:proofErr w:type="gramStart"/>
            <w:r w:rsidRPr="005E1BA7">
              <w:rPr>
                <w:sz w:val="24"/>
                <w:szCs w:val="24"/>
              </w:rPr>
              <w:t>п</w:t>
            </w:r>
            <w:proofErr w:type="gramEnd"/>
            <w:r w:rsidRPr="005E1BA7">
              <w:rPr>
                <w:sz w:val="24"/>
                <w:szCs w:val="24"/>
              </w:rPr>
              <w:t>ідприємств, установ та організацій незалежно від форми власності не менше двох років.</w:t>
            </w:r>
          </w:p>
        </w:tc>
      </w:tr>
      <w:tr w:rsidR="00654179" w:rsidRPr="00DB7B9D" w:rsidTr="0044385C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  <w:rPr>
                <w:sz w:val="24"/>
                <w:szCs w:val="24"/>
              </w:rPr>
            </w:pPr>
            <w:r w:rsidRPr="00DB7B9D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5E1BA7" w:rsidRDefault="00654179" w:rsidP="0044385C">
            <w:pPr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E1BA7">
              <w:rPr>
                <w:sz w:val="24"/>
                <w:szCs w:val="24"/>
              </w:rPr>
              <w:t>В</w:t>
            </w:r>
            <w:proofErr w:type="gramEnd"/>
            <w:r w:rsidRPr="005E1BA7">
              <w:rPr>
                <w:sz w:val="24"/>
                <w:szCs w:val="24"/>
              </w:rPr>
              <w:t>ільне володіння державною мовою.</w:t>
            </w:r>
          </w:p>
        </w:tc>
      </w:tr>
      <w:tr w:rsidR="00654179" w:rsidRPr="00DB7B9D" w:rsidTr="0044385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pStyle w:val="a9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654179" w:rsidRPr="00DB7B9D" w:rsidTr="0044385C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Компоненти вимоги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6A6413" w:rsidRDefault="00654179" w:rsidP="0044385C">
            <w:pPr>
              <w:jc w:val="both"/>
            </w:pPr>
            <w:r w:rsidRPr="006A6413"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E1BA7">
              <w:rPr>
                <w:sz w:val="24"/>
                <w:szCs w:val="24"/>
              </w:rPr>
              <w:t>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Інтернет.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6A6413" w:rsidRDefault="00654179" w:rsidP="0044385C">
            <w:pPr>
              <w:jc w:val="both"/>
            </w:pPr>
            <w:r w:rsidRPr="006A6413">
              <w:t>Необхідні ділові якості</w:t>
            </w:r>
          </w:p>
          <w:p w:rsidR="00654179" w:rsidRPr="006A6413" w:rsidRDefault="00654179" w:rsidP="0044385C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1BA7">
              <w:rPr>
                <w:sz w:val="24"/>
                <w:szCs w:val="24"/>
              </w:rPr>
              <w:t>налітичні та організаторські здібності, лідерські якості, вміння розподіляти роботу, виваженість, здатність концентруватись на деталях, адаптивність, стресостійкість, вимогливість, вміння визначати пріоритети, вміння аргументовано доводити власну точку зору, навички розв’язання проб</w:t>
            </w:r>
            <w:r>
              <w:rPr>
                <w:sz w:val="24"/>
                <w:szCs w:val="24"/>
              </w:rPr>
              <w:t>лем, уміння працювати в команді</w:t>
            </w:r>
            <w:r w:rsidRPr="005E1BA7">
              <w:rPr>
                <w:sz w:val="24"/>
                <w:szCs w:val="24"/>
              </w:rPr>
              <w:t>.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rvps1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44385C">
            <w:pPr>
              <w:jc w:val="both"/>
              <w:rPr>
                <w:sz w:val="24"/>
                <w:szCs w:val="24"/>
              </w:rPr>
            </w:pPr>
            <w:r w:rsidRPr="006A6413">
              <w:t>Необхідні особистісні якості</w:t>
            </w:r>
            <w:r w:rsidRPr="00DB7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E1BA7">
              <w:rPr>
                <w:sz w:val="24"/>
                <w:szCs w:val="24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654179" w:rsidRPr="00DB7B9D" w:rsidTr="0044385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DB7B9D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654179" w:rsidRPr="00DB7B9D" w:rsidTr="0044385C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9" w:rsidRPr="00DB7B9D" w:rsidRDefault="00654179" w:rsidP="0044385C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DB7B9D">
              <w:rPr>
                <w:sz w:val="24"/>
                <w:szCs w:val="24"/>
              </w:rPr>
              <w:t>Компоненти вимоги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a9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6A6413" w:rsidRDefault="00654179" w:rsidP="0044385C">
            <w:pPr>
              <w:jc w:val="both"/>
            </w:pPr>
            <w:r w:rsidRPr="006A6413"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Конституції України.</w:t>
            </w:r>
          </w:p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Закону України «Про державну службу».</w:t>
            </w:r>
          </w:p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Закону України «Про запобігання корупції».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a9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6A6413" w:rsidRDefault="00654179" w:rsidP="0044385C">
            <w:pPr>
              <w:jc w:val="both"/>
            </w:pPr>
            <w:r w:rsidRPr="006A6413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proofErr w:type="gramStart"/>
            <w:r w:rsidRPr="006A6413">
              <w:t>п</w:t>
            </w:r>
            <w:proofErr w:type="gramEnd"/>
            <w:r w:rsidRPr="006A6413">
              <w:t>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Закону України «Про цент</w:t>
            </w:r>
            <w:r>
              <w:rPr>
                <w:sz w:val="24"/>
                <w:szCs w:val="24"/>
              </w:rPr>
              <w:t>ральні органи виконавчої влади».</w:t>
            </w:r>
          </w:p>
          <w:p w:rsidR="00654179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6A6413">
              <w:rPr>
                <w:sz w:val="24"/>
                <w:szCs w:val="24"/>
              </w:rPr>
              <w:t>Закону України «Про Національну гвардію».</w:t>
            </w:r>
          </w:p>
          <w:p w:rsidR="00654179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>Закону України «Про Націон</w:t>
            </w:r>
            <w:r>
              <w:rPr>
                <w:sz w:val="24"/>
                <w:szCs w:val="24"/>
              </w:rPr>
              <w:t>альну поліцію України».</w:t>
            </w:r>
          </w:p>
          <w:p w:rsidR="00654179" w:rsidRPr="006A6413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6A6413">
              <w:rPr>
                <w:sz w:val="24"/>
                <w:szCs w:val="24"/>
              </w:rPr>
              <w:t>Положення «Про Державну службу                        України з надзвичайних ситуацій».                                       Положення «Про Державну міграційну службу».</w:t>
            </w:r>
          </w:p>
          <w:p w:rsidR="00654179" w:rsidRPr="006A6413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6A6413">
              <w:rPr>
                <w:sz w:val="24"/>
                <w:szCs w:val="24"/>
              </w:rPr>
              <w:t>Положення «Про Державну прикордонну службу».</w:t>
            </w:r>
          </w:p>
        </w:tc>
      </w:tr>
      <w:tr w:rsidR="00654179" w:rsidRPr="00DB7B9D" w:rsidTr="004438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DB7B9D" w:rsidRDefault="00654179" w:rsidP="00654179">
            <w:pPr>
              <w:pStyle w:val="a9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6A6413" w:rsidRDefault="00654179" w:rsidP="0044385C">
            <w:pPr>
              <w:jc w:val="both"/>
            </w:pPr>
            <w:r w:rsidRPr="006A6413">
              <w:t xml:space="preserve">Професійні знання, необхідні для </w:t>
            </w:r>
            <w:r w:rsidRPr="006A6413">
              <w:lastRenderedPageBreak/>
              <w:t>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lastRenderedPageBreak/>
              <w:t xml:space="preserve">Знання порядку </w:t>
            </w:r>
            <w:proofErr w:type="gramStart"/>
            <w:r w:rsidRPr="005E1BA7">
              <w:rPr>
                <w:sz w:val="24"/>
                <w:szCs w:val="24"/>
              </w:rPr>
              <w:t>п</w:t>
            </w:r>
            <w:proofErr w:type="gramEnd"/>
            <w:r w:rsidRPr="005E1BA7">
              <w:rPr>
                <w:sz w:val="24"/>
                <w:szCs w:val="24"/>
              </w:rPr>
              <w:t>ідготовки проектів нормативно-правових та розпорядчих ак</w:t>
            </w:r>
            <w:r>
              <w:rPr>
                <w:sz w:val="24"/>
                <w:szCs w:val="24"/>
              </w:rPr>
              <w:t xml:space="preserve">тів, їх погодження та </w:t>
            </w:r>
            <w:r>
              <w:rPr>
                <w:sz w:val="24"/>
                <w:szCs w:val="24"/>
              </w:rPr>
              <w:lastRenderedPageBreak/>
              <w:t>візування.</w:t>
            </w:r>
          </w:p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BA7">
              <w:rPr>
                <w:sz w:val="24"/>
                <w:szCs w:val="24"/>
              </w:rPr>
              <w:t>Знання вимог проведення експертизи законодавчих та нормативно-правових акті</w:t>
            </w:r>
            <w:proofErr w:type="gramStart"/>
            <w:r w:rsidRPr="005E1BA7">
              <w:rPr>
                <w:sz w:val="24"/>
                <w:szCs w:val="24"/>
              </w:rPr>
              <w:t>в</w:t>
            </w:r>
            <w:proofErr w:type="gramEnd"/>
            <w:r w:rsidRPr="005E1BA7">
              <w:rPr>
                <w:sz w:val="24"/>
                <w:szCs w:val="24"/>
              </w:rPr>
              <w:t>, у тому числі відомчого та міжвідомчого характе</w:t>
            </w:r>
            <w:r>
              <w:rPr>
                <w:sz w:val="24"/>
                <w:szCs w:val="24"/>
              </w:rPr>
              <w:t>ру, з питань державної таємниці.</w:t>
            </w:r>
          </w:p>
          <w:p w:rsidR="00654179" w:rsidRPr="005E1BA7" w:rsidRDefault="00654179" w:rsidP="0044385C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4"/>
                <w:szCs w:val="24"/>
              </w:rPr>
            </w:pPr>
            <w:r w:rsidRPr="005E1BA7">
              <w:rPr>
                <w:sz w:val="24"/>
                <w:szCs w:val="24"/>
              </w:rPr>
              <w:t xml:space="preserve">Знання у сфері діловодства, ділового листування, </w:t>
            </w:r>
            <w:proofErr w:type="gramStart"/>
            <w:r w:rsidRPr="005E1BA7">
              <w:rPr>
                <w:sz w:val="24"/>
                <w:szCs w:val="24"/>
              </w:rPr>
              <w:t>п</w:t>
            </w:r>
            <w:proofErr w:type="gramEnd"/>
            <w:r w:rsidRPr="005E1BA7">
              <w:rPr>
                <w:sz w:val="24"/>
                <w:szCs w:val="24"/>
              </w:rPr>
              <w:t>ідготовки документів розпорядчого, ділового характеру, аналітичних довідок.</w:t>
            </w:r>
          </w:p>
        </w:tc>
      </w:tr>
    </w:tbl>
    <w:p w:rsidR="00654179" w:rsidRDefault="00654179" w:rsidP="00654179">
      <w:pPr>
        <w:spacing w:line="233" w:lineRule="auto"/>
        <w:ind w:firstLine="708"/>
        <w:jc w:val="both"/>
      </w:pPr>
    </w:p>
    <w:p w:rsidR="00654179" w:rsidRDefault="00654179" w:rsidP="00654179">
      <w:pPr>
        <w:tabs>
          <w:tab w:val="left" w:pos="1188"/>
        </w:tabs>
        <w:spacing w:line="233" w:lineRule="auto"/>
        <w:ind w:firstLine="709"/>
        <w:jc w:val="both"/>
        <w:rPr>
          <w:szCs w:val="28"/>
        </w:rPr>
      </w:pPr>
    </w:p>
    <w:p w:rsidR="00045CFE" w:rsidRDefault="00045CFE"/>
    <w:sectPr w:rsidR="00045CFE" w:rsidSect="008A583B">
      <w:headerReference w:type="even" r:id="rId7"/>
      <w:headerReference w:type="default" r:id="rId8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F" w:rsidRDefault="00045CFE" w:rsidP="00D50B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39F" w:rsidRDefault="00045C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9F" w:rsidRDefault="00045CFE" w:rsidP="00D50BA8">
    <w:pPr>
      <w:pStyle w:val="a5"/>
      <w:framePr w:wrap="around" w:vAnchor="text" w:hAnchor="margin" w:xAlign="center" w:y="1"/>
      <w:rPr>
        <w:rStyle w:val="a7"/>
      </w:rPr>
    </w:pPr>
  </w:p>
  <w:p w:rsidR="007E739F" w:rsidRDefault="00045C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DA9"/>
    <w:multiLevelType w:val="hybridMultilevel"/>
    <w:tmpl w:val="6458EFCC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6D5FF0"/>
    <w:multiLevelType w:val="hybridMultilevel"/>
    <w:tmpl w:val="7A0E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54179"/>
    <w:rsid w:val="00045CFE"/>
    <w:rsid w:val="0065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6541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5">
    <w:name w:val="header"/>
    <w:basedOn w:val="a"/>
    <w:link w:val="a6"/>
    <w:rsid w:val="0065417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6">
    <w:name w:val="Верхний колонтитул Знак"/>
    <w:basedOn w:val="a0"/>
    <w:link w:val="a5"/>
    <w:rsid w:val="00654179"/>
    <w:rPr>
      <w:rFonts w:ascii="Times New Roman" w:eastAsia="Times New Roman" w:hAnsi="Times New Roman" w:cs="Times New Roman"/>
      <w:sz w:val="26"/>
      <w:szCs w:val="26"/>
      <w:lang w:val="uk-UA"/>
    </w:rPr>
  </w:style>
  <w:style w:type="character" w:styleId="a7">
    <w:name w:val="page number"/>
    <w:basedOn w:val="a0"/>
    <w:rsid w:val="00654179"/>
  </w:style>
  <w:style w:type="paragraph" w:customStyle="1" w:styleId="a8">
    <w:name w:val="Назва документа"/>
    <w:basedOn w:val="a"/>
    <w:next w:val="a9"/>
    <w:rsid w:val="0065417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9">
    <w:name w:val="Нормальний текст"/>
    <w:basedOn w:val="a"/>
    <w:rsid w:val="006541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654179"/>
  </w:style>
  <w:style w:type="paragraph" w:customStyle="1" w:styleId="rvps12">
    <w:name w:val="rvps12"/>
    <w:basedOn w:val="a"/>
    <w:rsid w:val="006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541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541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65417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5279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2018-11-05T14:56:00Z</dcterms:created>
  <dcterms:modified xsi:type="dcterms:W3CDTF">2018-11-05T14:56:00Z</dcterms:modified>
</cp:coreProperties>
</file>